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D756C" w14:textId="424E1B58" w:rsidR="00056F99" w:rsidRPr="00056F99" w:rsidRDefault="00056F99" w:rsidP="00056F99">
      <w:pPr>
        <w:tabs>
          <w:tab w:val="center" w:pos="4536"/>
          <w:tab w:val="right" w:pos="9072"/>
        </w:tabs>
        <w:rPr>
          <w:rFonts w:ascii="Arial" w:eastAsia="MS Mincho" w:hAnsi="Arial" w:cs="Arial"/>
          <w:b/>
          <w:bCs/>
          <w:sz w:val="22"/>
          <w:lang w:eastAsia="ja-JP"/>
        </w:rPr>
      </w:pPr>
      <w:bookmarkStart w:id="0" w:name="_Hlk31821325"/>
      <w:bookmarkStart w:id="1" w:name="_GoBack"/>
      <w:r w:rsidRPr="00056F99">
        <w:rPr>
          <w:rFonts w:ascii="Arial" w:eastAsia="MS Mincho" w:hAnsi="Arial" w:cs="Arial"/>
          <w:b/>
          <w:bCs/>
          <w:sz w:val="22"/>
          <w:lang w:eastAsia="ja-JP"/>
        </w:rPr>
        <w:t>3GPP TSG-RAN WG1 Meeting #100</w:t>
      </w:r>
      <w:r w:rsidR="00D43D44">
        <w:rPr>
          <w:rFonts w:ascii="Arial" w:eastAsia="MS Mincho" w:hAnsi="Arial" w:cs="Arial"/>
          <w:b/>
          <w:bCs/>
          <w:sz w:val="22"/>
          <w:lang w:eastAsia="ja-JP"/>
        </w:rPr>
        <w:t>b</w:t>
      </w:r>
      <w:r w:rsidR="00086D5B">
        <w:rPr>
          <w:rFonts w:ascii="Arial" w:eastAsia="MS Mincho" w:hAnsi="Arial" w:cs="Arial"/>
          <w:b/>
          <w:bCs/>
          <w:sz w:val="22"/>
          <w:lang w:eastAsia="ja-JP"/>
        </w:rPr>
        <w:t>is</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E71877" w:rsidRPr="00E71877">
        <w:rPr>
          <w:rFonts w:ascii="Arial" w:eastAsia="MS Mincho" w:hAnsi="Arial" w:cs="Arial"/>
          <w:b/>
          <w:bCs/>
          <w:sz w:val="22"/>
          <w:lang w:eastAsia="ja-JP"/>
        </w:rPr>
        <w:t>R1-2001692</w:t>
      </w:r>
    </w:p>
    <w:p w14:paraId="594B29B9" w14:textId="3AF1408A" w:rsidR="009B7C12" w:rsidRPr="00924C34" w:rsidRDefault="00460144" w:rsidP="009B7C12">
      <w:pPr>
        <w:tabs>
          <w:tab w:val="center" w:pos="4536"/>
          <w:tab w:val="right" w:pos="9072"/>
        </w:tabs>
        <w:rPr>
          <w:rFonts w:ascii="Arial" w:hAnsi="Arial" w:cs="Arial"/>
          <w:b/>
          <w:bCs/>
          <w:sz w:val="22"/>
        </w:rPr>
      </w:pPr>
      <w:proofErr w:type="gramStart"/>
      <w:r w:rsidRPr="00460144">
        <w:rPr>
          <w:rFonts w:ascii="Arial" w:eastAsia="MS Mincho" w:hAnsi="Arial" w:cs="Arial"/>
          <w:b/>
          <w:bCs/>
          <w:sz w:val="22"/>
          <w:lang w:val="en-GB" w:eastAsia="ja-JP"/>
        </w:rPr>
        <w:t>e-Meeting</w:t>
      </w:r>
      <w:proofErr w:type="gramEnd"/>
      <w:r w:rsidRPr="00460144">
        <w:rPr>
          <w:rFonts w:ascii="Arial" w:eastAsia="MS Mincho" w:hAnsi="Arial" w:cs="Arial"/>
          <w:b/>
          <w:bCs/>
          <w:sz w:val="22"/>
          <w:lang w:val="en-GB" w:eastAsia="ja-JP"/>
        </w:rPr>
        <w:t xml:space="preserve">, </w:t>
      </w:r>
      <w:r w:rsidR="00D43D44" w:rsidRPr="00C03AB9">
        <w:rPr>
          <w:rFonts w:ascii="Arial" w:eastAsia="MS Mincho" w:hAnsi="Arial" w:cs="Arial"/>
          <w:b/>
          <w:bCs/>
          <w:sz w:val="22"/>
          <w:lang w:val="en-GB" w:eastAsia="ja-JP"/>
        </w:rPr>
        <w:t>April 20</w:t>
      </w:r>
      <w:r w:rsidR="00D43D44" w:rsidRPr="00C03AB9">
        <w:rPr>
          <w:rFonts w:ascii="Arial" w:eastAsia="MS Mincho" w:hAnsi="Arial" w:cs="Arial"/>
          <w:b/>
          <w:bCs/>
          <w:sz w:val="22"/>
          <w:vertAlign w:val="superscript"/>
          <w:lang w:val="en-GB" w:eastAsia="ja-JP"/>
        </w:rPr>
        <w:t>th</w:t>
      </w:r>
      <w:r w:rsidR="00D43D44" w:rsidRPr="00C03AB9">
        <w:rPr>
          <w:rFonts w:ascii="Arial" w:eastAsia="MS Mincho" w:hAnsi="Arial" w:cs="Arial"/>
          <w:b/>
          <w:bCs/>
          <w:sz w:val="22"/>
          <w:lang w:val="en-GB" w:eastAsia="ja-JP"/>
        </w:rPr>
        <w:t xml:space="preserve"> – 30</w:t>
      </w:r>
      <w:r w:rsidR="00D43D44" w:rsidRPr="00C03AB9">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0E9E35B"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4A2DEB" w:rsidRPr="004A2DEB">
        <w:rPr>
          <w:rFonts w:cs="Arial"/>
        </w:rPr>
        <w:t>Remaining issues on cross-carrier scheduling with mix numerologies</w:t>
      </w:r>
    </w:p>
    <w:p w14:paraId="7F0008CE" w14:textId="1613E245"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B33B57">
        <w:rPr>
          <w:rFonts w:eastAsia="宋体" w:cs="Arial"/>
          <w:lang w:eastAsia="zh-CN"/>
        </w:rPr>
        <w:t>10</w:t>
      </w:r>
      <w:r w:rsidR="009B46FF">
        <w:rPr>
          <w:rFonts w:eastAsia="宋体" w:cs="Arial"/>
          <w:lang w:eastAsia="zh-CN"/>
        </w:rPr>
        <w:t>.</w:t>
      </w:r>
      <w:r w:rsidR="004A2DEB">
        <w:rPr>
          <w:rFonts w:eastAsia="宋体" w:cs="Arial"/>
          <w:lang w:eastAsia="zh-CN"/>
        </w:rPr>
        <w:t>6</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17D5D47C" w:rsidR="008C48FE" w:rsidRPr="002D4E32" w:rsidRDefault="008C48FE" w:rsidP="00265647">
      <w:pPr>
        <w:pStyle w:val="a0"/>
        <w:spacing w:before="120"/>
        <w:rPr>
          <w:rFonts w:eastAsia="Batang"/>
          <w:szCs w:val="20"/>
          <w:lang w:eastAsia="x-none"/>
        </w:rPr>
      </w:pPr>
      <w:bookmarkStart w:id="2" w:name="OLE_LINK13"/>
      <w:bookmarkStart w:id="3"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some </w:t>
      </w:r>
      <w:r w:rsidR="00C12DA6" w:rsidRPr="002D4E32">
        <w:rPr>
          <w:rFonts w:eastAsia="Batang"/>
          <w:szCs w:val="20"/>
          <w:lang w:eastAsia="x-none"/>
        </w:rPr>
        <w:t xml:space="preserve">remaining </w:t>
      </w:r>
      <w:r w:rsidRPr="002D4E32">
        <w:rPr>
          <w:rFonts w:eastAsia="Batang"/>
          <w:szCs w:val="20"/>
          <w:lang w:eastAsia="x-none"/>
        </w:rPr>
        <w:t>issues</w:t>
      </w:r>
      <w:r w:rsidR="00E131F8">
        <w:rPr>
          <w:rFonts w:eastAsia="Batang"/>
          <w:szCs w:val="20"/>
          <w:lang w:eastAsia="x-none"/>
        </w:rPr>
        <w:t xml:space="preserve"> </w:t>
      </w:r>
      <w:r w:rsidR="00B33B57" w:rsidRPr="00B33B57">
        <w:rPr>
          <w:rFonts w:cs="Arial"/>
        </w:rPr>
        <w:t xml:space="preserve">on </w:t>
      </w:r>
      <w:r w:rsidR="00417958" w:rsidRPr="004A2DEB">
        <w:rPr>
          <w:rFonts w:cs="Arial"/>
        </w:rPr>
        <w:t>cross-carrier scheduling with mix numerologies</w:t>
      </w:r>
      <w:r w:rsidR="004B0409">
        <w:rPr>
          <w:rFonts w:cs="Arial"/>
        </w:rPr>
        <w:t xml:space="preserve"> are discussed </w:t>
      </w:r>
      <w:r w:rsidR="001C5CCA">
        <w:rPr>
          <w:rFonts w:cs="Arial"/>
        </w:rPr>
        <w:t xml:space="preserve">and </w:t>
      </w:r>
      <w:r w:rsidR="004B0409">
        <w:rPr>
          <w:rFonts w:cs="Arial"/>
        </w:rPr>
        <w:t>associated text proposals</w:t>
      </w:r>
      <w:r w:rsidR="001C5CCA">
        <w:rPr>
          <w:rFonts w:cs="Arial"/>
        </w:rPr>
        <w:t xml:space="preserve"> are provided</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3AB419CB" w14:textId="1CA59F3B" w:rsidR="005D732C" w:rsidRPr="00EB5B71" w:rsidRDefault="00D43D44" w:rsidP="005D732C">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SPS</w:t>
      </w:r>
      <w:r w:rsidR="00174494">
        <w:rPr>
          <w:rFonts w:ascii="Arial" w:eastAsia="宋体" w:hAnsi="Arial" w:cs="Arial"/>
          <w:bCs/>
          <w:iCs/>
          <w:szCs w:val="28"/>
          <w:lang w:eastAsia="zh-CN"/>
        </w:rPr>
        <w:t xml:space="preserve"> release in type-1 HARQ codebook</w:t>
      </w:r>
    </w:p>
    <w:p w14:paraId="0BEDEDB9" w14:textId="41C1D360" w:rsidR="00BB1492" w:rsidRDefault="00BB1492" w:rsidP="00D43D44">
      <w:pPr>
        <w:pStyle w:val="a0"/>
        <w:spacing w:before="120"/>
        <w:rPr>
          <w:rFonts w:eastAsia="Batang"/>
          <w:szCs w:val="20"/>
          <w:lang w:eastAsia="x-none"/>
        </w:rPr>
      </w:pPr>
      <w:r>
        <w:rPr>
          <w:rFonts w:eastAsia="Batang"/>
          <w:szCs w:val="20"/>
          <w:lang w:eastAsia="x-none"/>
        </w:rPr>
        <w:t xml:space="preserve">In Rel-15, the HARQ-ACK resource for DL SPS release, regardless of the type of HARQ codebook, is </w:t>
      </w:r>
      <w:r w:rsidR="0076164A">
        <w:rPr>
          <w:rFonts w:eastAsia="Batang"/>
          <w:szCs w:val="20"/>
          <w:lang w:eastAsia="x-none"/>
        </w:rPr>
        <w:t xml:space="preserve">given </w:t>
      </w:r>
      <w:r>
        <w:rPr>
          <w:rFonts w:eastAsia="Batang"/>
          <w:szCs w:val="20"/>
          <w:lang w:eastAsia="x-none"/>
        </w:rPr>
        <w:t xml:space="preserve">by </w:t>
      </w:r>
      <w:r w:rsidR="0076164A">
        <w:rPr>
          <w:rFonts w:eastAsia="Batang"/>
          <w:szCs w:val="20"/>
          <w:lang w:eastAsia="x-none"/>
        </w:rPr>
        <w:t>the last PUCCH slot overlapping with the SPS PDCCH release</w:t>
      </w:r>
      <w:r w:rsidR="00387505">
        <w:rPr>
          <w:rFonts w:eastAsia="Batang"/>
          <w:szCs w:val="20"/>
          <w:lang w:eastAsia="x-none"/>
        </w:rPr>
        <w:t xml:space="preserve"> and a timing offset </w:t>
      </w:r>
      <w:r w:rsidR="00387505" w:rsidRPr="00387505">
        <w:rPr>
          <w:rFonts w:eastAsia="Batang"/>
          <w:i/>
          <w:szCs w:val="20"/>
          <w:lang w:eastAsia="x-none"/>
        </w:rPr>
        <w:t>k</w:t>
      </w:r>
      <w:r w:rsidR="0076164A">
        <w:rPr>
          <w:rFonts w:eastAsia="Batang"/>
          <w:szCs w:val="20"/>
          <w:lang w:eastAsia="x-none"/>
        </w:rPr>
        <w:t>, according to the</w:t>
      </w:r>
      <w:r>
        <w:rPr>
          <w:rFonts w:eastAsia="Batang"/>
          <w:szCs w:val="20"/>
          <w:lang w:eastAsia="x-none"/>
        </w:rPr>
        <w:t xml:space="preserve"> following </w:t>
      </w:r>
      <w:r w:rsidRPr="00BB1492">
        <w:rPr>
          <w:rFonts w:eastAsia="Batang"/>
          <w:szCs w:val="20"/>
          <w:lang w:eastAsia="x-none"/>
        </w:rPr>
        <w:t>paragraph</w:t>
      </w:r>
      <w:r>
        <w:rPr>
          <w:rFonts w:eastAsia="Batang"/>
          <w:szCs w:val="20"/>
          <w:lang w:eastAsia="x-none"/>
        </w:rPr>
        <w:t xml:space="preserve"> in section 9.2.3 of TS 38.213</w:t>
      </w:r>
      <w:r w:rsidR="004926CE">
        <w:rPr>
          <w:rFonts w:eastAsia="Batang"/>
          <w:szCs w:val="20"/>
          <w:lang w:eastAsia="x-none"/>
        </w:rPr>
        <w:t xml:space="preserve"> </w:t>
      </w:r>
      <w:r w:rsidR="004926CE">
        <w:rPr>
          <w:rFonts w:eastAsia="Batang"/>
          <w:szCs w:val="20"/>
          <w:lang w:eastAsia="x-none"/>
        </w:rPr>
        <w:fldChar w:fldCharType="begin"/>
      </w:r>
      <w:r w:rsidR="004926CE">
        <w:rPr>
          <w:rFonts w:eastAsia="Batang"/>
          <w:szCs w:val="20"/>
          <w:lang w:eastAsia="x-none"/>
        </w:rPr>
        <w:instrText xml:space="preserve"> REF _Ref32251495 \r \h </w:instrText>
      </w:r>
      <w:r w:rsidR="004926CE">
        <w:rPr>
          <w:rFonts w:eastAsia="Batang"/>
          <w:szCs w:val="20"/>
          <w:lang w:eastAsia="x-none"/>
        </w:rPr>
      </w:r>
      <w:r w:rsidR="004926CE">
        <w:rPr>
          <w:rFonts w:eastAsia="Batang"/>
          <w:szCs w:val="20"/>
          <w:lang w:eastAsia="x-none"/>
        </w:rPr>
        <w:fldChar w:fldCharType="separate"/>
      </w:r>
      <w:r w:rsidR="006F796F">
        <w:rPr>
          <w:rFonts w:eastAsia="Batang"/>
          <w:szCs w:val="20"/>
          <w:lang w:eastAsia="x-none"/>
        </w:rPr>
        <w:t>[1]</w:t>
      </w:r>
      <w:r w:rsidR="004926CE">
        <w:rPr>
          <w:rFonts w:eastAsia="Batang"/>
          <w:szCs w:val="20"/>
          <w:lang w:eastAsia="x-none"/>
        </w:rPr>
        <w:fldChar w:fldCharType="end"/>
      </w:r>
      <w:r>
        <w:rPr>
          <w:rFonts w:eastAsia="Batang"/>
          <w:szCs w:val="20"/>
          <w:lang w:eastAsia="x-none"/>
        </w:rPr>
        <w:t xml:space="preserve">. </w:t>
      </w:r>
    </w:p>
    <w:tbl>
      <w:tblPr>
        <w:tblStyle w:val="a8"/>
        <w:tblW w:w="0" w:type="auto"/>
        <w:tblLook w:val="04A0" w:firstRow="1" w:lastRow="0" w:firstColumn="1" w:lastColumn="0" w:noHBand="0" w:noVBand="1"/>
      </w:tblPr>
      <w:tblGrid>
        <w:gridCol w:w="9019"/>
      </w:tblGrid>
      <w:tr w:rsidR="00BB1492" w14:paraId="79973767" w14:textId="77777777" w:rsidTr="00BB1492">
        <w:tc>
          <w:tcPr>
            <w:tcW w:w="9019" w:type="dxa"/>
          </w:tcPr>
          <w:p w14:paraId="2B766F43" w14:textId="1C4A1C73" w:rsidR="00BB1492" w:rsidRDefault="00BB1492" w:rsidP="00BB1492">
            <w:pPr>
              <w:spacing w:after="180"/>
              <w:rPr>
                <w:rFonts w:eastAsia="Batang"/>
                <w:szCs w:val="20"/>
                <w:lang w:eastAsia="x-none"/>
              </w:rPr>
            </w:pPr>
            <w:r w:rsidRPr="00BB1492">
              <w:rPr>
                <w:sz w:val="20"/>
                <w:szCs w:val="20"/>
                <w:lang w:val="en-GB"/>
              </w:rPr>
              <w:t xml:space="preserve">With reference to slots for PUCCH transmissions, if the UE detects a DCI format scheduling a PDSCH reception ending in slot </w:t>
            </w:r>
            <w:r w:rsidRPr="00BB1492">
              <w:rPr>
                <w:noProof/>
                <w:position w:val="-6"/>
                <w:sz w:val="20"/>
                <w:szCs w:val="20"/>
                <w:lang w:eastAsia="zh-CN"/>
              </w:rPr>
              <w:drawing>
                <wp:inline distT="0" distB="0" distL="0" distR="0" wp14:anchorId="24684E2F" wp14:editId="0D68CD14">
                  <wp:extent cx="102235" cy="14351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235" cy="143510"/>
                          </a:xfrm>
                          <a:prstGeom prst="rect">
                            <a:avLst/>
                          </a:prstGeom>
                          <a:noFill/>
                          <a:ln>
                            <a:noFill/>
                          </a:ln>
                        </pic:spPr>
                      </pic:pic>
                    </a:graphicData>
                  </a:graphic>
                </wp:inline>
              </w:drawing>
            </w:r>
            <w:r w:rsidRPr="00BB1492">
              <w:rPr>
                <w:sz w:val="20"/>
                <w:szCs w:val="20"/>
                <w:lang w:val="en-GB"/>
              </w:rPr>
              <w:t xml:space="preserve"> or if the UE detects a DCI format indicating a SPS PDSCH release through a PDCCH reception ending in slot </w:t>
            </w:r>
            <w:r w:rsidRPr="00BB1492">
              <w:rPr>
                <w:noProof/>
                <w:position w:val="-6"/>
                <w:sz w:val="20"/>
                <w:szCs w:val="20"/>
                <w:lang w:eastAsia="zh-CN"/>
              </w:rPr>
              <w:drawing>
                <wp:inline distT="0" distB="0" distL="0" distR="0" wp14:anchorId="508C36B7" wp14:editId="4BF91886">
                  <wp:extent cx="102235" cy="14351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235" cy="143510"/>
                          </a:xfrm>
                          <a:prstGeom prst="rect">
                            <a:avLst/>
                          </a:prstGeom>
                          <a:noFill/>
                          <a:ln>
                            <a:noFill/>
                          </a:ln>
                        </pic:spPr>
                      </pic:pic>
                    </a:graphicData>
                  </a:graphic>
                </wp:inline>
              </w:drawing>
            </w:r>
            <w:r w:rsidRPr="00BB1492">
              <w:rPr>
                <w:sz w:val="20"/>
                <w:szCs w:val="20"/>
                <w:lang w:val="en-GB"/>
              </w:rPr>
              <w:t xml:space="preserve">, the UE provides corresponding HARQ-ACK information in a PUCCH transmission within slot </w:t>
            </w:r>
            <w:r w:rsidRPr="00BB1492">
              <w:rPr>
                <w:noProof/>
                <w:position w:val="-6"/>
                <w:sz w:val="20"/>
                <w:szCs w:val="20"/>
                <w:lang w:eastAsia="zh-CN"/>
              </w:rPr>
              <w:drawing>
                <wp:inline distT="0" distB="0" distL="0" distR="0" wp14:anchorId="2E1BFBEC" wp14:editId="187D3C93">
                  <wp:extent cx="273050" cy="184150"/>
                  <wp:effectExtent l="0" t="0" r="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B1492">
              <w:rPr>
                <w:sz w:val="20"/>
                <w:szCs w:val="20"/>
                <w:lang w:val="en-GB"/>
              </w:rPr>
              <w:t xml:space="preserve">, where </w:t>
            </w:r>
            <w:r w:rsidRPr="00BB1492">
              <w:rPr>
                <w:noProof/>
                <w:position w:val="-6"/>
                <w:sz w:val="20"/>
                <w:szCs w:val="20"/>
                <w:lang w:eastAsia="zh-CN"/>
              </w:rPr>
              <w:drawing>
                <wp:inline distT="0" distB="0" distL="0" distR="0" wp14:anchorId="029C66BA" wp14:editId="17E3DBE9">
                  <wp:extent cx="184150" cy="1841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B1492">
              <w:rPr>
                <w:sz w:val="20"/>
                <w:szCs w:val="20"/>
                <w:lang w:val="en-GB"/>
              </w:rPr>
              <w:t xml:space="preserve"> is a number of slots and is indicated by the PDSCH-to-</w:t>
            </w:r>
            <w:proofErr w:type="spellStart"/>
            <w:r w:rsidRPr="00BB1492">
              <w:rPr>
                <w:sz w:val="20"/>
                <w:szCs w:val="20"/>
                <w:lang w:val="en-GB"/>
              </w:rPr>
              <w:t>HARQ_feedback</w:t>
            </w:r>
            <w:proofErr w:type="spellEnd"/>
            <w:r w:rsidRPr="00BB1492">
              <w:rPr>
                <w:sz w:val="20"/>
                <w:szCs w:val="20"/>
                <w:lang w:val="en-GB"/>
              </w:rPr>
              <w:t xml:space="preserve"> timing indicator field in the DCI format, if present, or provided by </w:t>
            </w:r>
            <w:r w:rsidRPr="00BB1492">
              <w:rPr>
                <w:i/>
                <w:sz w:val="20"/>
                <w:szCs w:val="20"/>
                <w:lang w:val="en-GB"/>
              </w:rPr>
              <w:t>dl-</w:t>
            </w:r>
            <w:proofErr w:type="spellStart"/>
            <w:r w:rsidRPr="00BB1492">
              <w:rPr>
                <w:i/>
                <w:sz w:val="20"/>
                <w:szCs w:val="20"/>
                <w:lang w:val="en-GB"/>
              </w:rPr>
              <w:t>DataToUL</w:t>
            </w:r>
            <w:proofErr w:type="spellEnd"/>
            <w:r w:rsidRPr="00BB1492">
              <w:rPr>
                <w:i/>
                <w:sz w:val="20"/>
                <w:szCs w:val="20"/>
                <w:lang w:val="en-GB"/>
              </w:rPr>
              <w:t>-ACK</w:t>
            </w:r>
            <w:r w:rsidRPr="00BB1492">
              <w:rPr>
                <w:sz w:val="20"/>
                <w:szCs w:val="20"/>
                <w:lang w:val="en-GB"/>
              </w:rPr>
              <w:t xml:space="preserve">, or by </w:t>
            </w:r>
            <w:r w:rsidRPr="00BB1492">
              <w:rPr>
                <w:i/>
                <w:sz w:val="20"/>
                <w:szCs w:val="20"/>
                <w:lang w:val="en-GB"/>
              </w:rPr>
              <w:t>dl-DataToUL-ACKForDCIFormat1_2</w:t>
            </w:r>
            <w:r w:rsidRPr="00BB1492">
              <w:rPr>
                <w:sz w:val="20"/>
                <w:szCs w:val="20"/>
                <w:lang w:val="en-GB"/>
              </w:rPr>
              <w:t xml:space="preserve"> for DCI format 1_2. </w:t>
            </w:r>
            <w:r w:rsidRPr="00BB1492">
              <w:rPr>
                <w:noProof/>
                <w:position w:val="-6"/>
                <w:sz w:val="20"/>
                <w:szCs w:val="20"/>
                <w:lang w:eastAsia="zh-CN"/>
              </w:rPr>
              <w:drawing>
                <wp:inline distT="0" distB="0" distL="0" distR="0" wp14:anchorId="451DA6D1" wp14:editId="597D2B28">
                  <wp:extent cx="273050" cy="184150"/>
                  <wp:effectExtent l="0" t="0" r="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B1492">
              <w:rPr>
                <w:sz w:val="20"/>
                <w:szCs w:val="20"/>
                <w:lang w:val="en-GB"/>
              </w:rPr>
              <w:t xml:space="preserve"> </w:t>
            </w:r>
            <w:proofErr w:type="gramStart"/>
            <w:r w:rsidRPr="00BB1492">
              <w:rPr>
                <w:sz w:val="20"/>
                <w:szCs w:val="20"/>
                <w:lang w:val="en-GB"/>
              </w:rPr>
              <w:t>corresponds</w:t>
            </w:r>
            <w:proofErr w:type="gramEnd"/>
            <w:r w:rsidRPr="00BB1492">
              <w:rPr>
                <w:sz w:val="20"/>
                <w:szCs w:val="20"/>
                <w:lang w:val="en-GB"/>
              </w:rPr>
              <w:t xml:space="preserve"> to the last slot of the PUCCH transmission that overlaps with the PDSCH reception or with the PDCCH reception in case of SPS PDSCH release. </w:t>
            </w:r>
          </w:p>
        </w:tc>
      </w:tr>
    </w:tbl>
    <w:p w14:paraId="63B827C0" w14:textId="777AD92D" w:rsidR="004B0409" w:rsidRDefault="00BB1492" w:rsidP="00D43D44">
      <w:pPr>
        <w:pStyle w:val="a0"/>
        <w:spacing w:before="120"/>
        <w:rPr>
          <w:rFonts w:eastAsia="Batang"/>
          <w:szCs w:val="20"/>
          <w:lang w:eastAsia="x-none"/>
        </w:rPr>
      </w:pPr>
      <w:r>
        <w:rPr>
          <w:rFonts w:eastAsia="Batang"/>
          <w:szCs w:val="20"/>
          <w:lang w:eastAsia="x-none"/>
        </w:rPr>
        <w:t xml:space="preserve">If type-1 HARQ codebook is used, the HARQ-ACK bit location of the DL SPS release is </w:t>
      </w:r>
      <w:r w:rsidR="0076164A">
        <w:rPr>
          <w:rFonts w:eastAsia="Batang"/>
          <w:szCs w:val="20"/>
          <w:lang w:eastAsia="x-none"/>
        </w:rPr>
        <w:t xml:space="preserve">determined </w:t>
      </w:r>
      <w:r>
        <w:rPr>
          <w:rFonts w:eastAsia="Batang"/>
          <w:szCs w:val="20"/>
          <w:lang w:eastAsia="x-none"/>
        </w:rPr>
        <w:t xml:space="preserve">by </w:t>
      </w:r>
      <w:r w:rsidR="0076164A">
        <w:rPr>
          <w:rFonts w:eastAsia="Batang"/>
          <w:szCs w:val="20"/>
          <w:lang w:eastAsia="x-none"/>
        </w:rPr>
        <w:t xml:space="preserve">the SLIV of the SPS PDSCH, according to </w:t>
      </w:r>
      <w:r>
        <w:rPr>
          <w:rFonts w:eastAsia="Batang"/>
          <w:szCs w:val="20"/>
          <w:lang w:eastAsia="x-none"/>
        </w:rPr>
        <w:t xml:space="preserve">the </w:t>
      </w:r>
      <w:r w:rsidRPr="00BB1492">
        <w:rPr>
          <w:rFonts w:eastAsia="Batang"/>
          <w:szCs w:val="20"/>
          <w:lang w:eastAsia="x-none"/>
        </w:rPr>
        <w:t>following paragraph</w:t>
      </w:r>
      <w:r>
        <w:rPr>
          <w:rFonts w:eastAsia="Batang"/>
          <w:szCs w:val="20"/>
          <w:lang w:eastAsia="x-none"/>
        </w:rPr>
        <w:t xml:space="preserve"> in section 9.1.2.1</w:t>
      </w:r>
      <w:r w:rsidR="004926CE">
        <w:rPr>
          <w:rFonts w:eastAsia="Batang"/>
          <w:szCs w:val="20"/>
          <w:lang w:eastAsia="x-none"/>
        </w:rPr>
        <w:t xml:space="preserve"> </w:t>
      </w:r>
      <w:r w:rsidR="004926CE">
        <w:rPr>
          <w:rFonts w:eastAsia="Batang"/>
          <w:szCs w:val="20"/>
          <w:lang w:eastAsia="x-none"/>
        </w:rPr>
        <w:fldChar w:fldCharType="begin"/>
      </w:r>
      <w:r w:rsidR="004926CE">
        <w:rPr>
          <w:rFonts w:eastAsia="Batang"/>
          <w:szCs w:val="20"/>
          <w:lang w:eastAsia="x-none"/>
        </w:rPr>
        <w:instrText xml:space="preserve"> REF _Ref32251495 \r \h </w:instrText>
      </w:r>
      <w:r w:rsidR="004926CE">
        <w:rPr>
          <w:rFonts w:eastAsia="Batang"/>
          <w:szCs w:val="20"/>
          <w:lang w:eastAsia="x-none"/>
        </w:rPr>
      </w:r>
      <w:r w:rsidR="004926CE">
        <w:rPr>
          <w:rFonts w:eastAsia="Batang"/>
          <w:szCs w:val="20"/>
          <w:lang w:eastAsia="x-none"/>
        </w:rPr>
        <w:fldChar w:fldCharType="separate"/>
      </w:r>
      <w:r w:rsidR="006F796F">
        <w:rPr>
          <w:rFonts w:eastAsia="Batang"/>
          <w:szCs w:val="20"/>
          <w:lang w:eastAsia="x-none"/>
        </w:rPr>
        <w:t>[1]</w:t>
      </w:r>
      <w:r w:rsidR="004926CE">
        <w:rPr>
          <w:rFonts w:eastAsia="Batang"/>
          <w:szCs w:val="20"/>
          <w:lang w:eastAsia="x-none"/>
        </w:rPr>
        <w:fldChar w:fldCharType="end"/>
      </w:r>
      <w:r>
        <w:rPr>
          <w:rFonts w:eastAsia="Batang"/>
          <w:szCs w:val="20"/>
          <w:lang w:eastAsia="x-none"/>
        </w:rPr>
        <w:t xml:space="preserve">. </w:t>
      </w:r>
    </w:p>
    <w:tbl>
      <w:tblPr>
        <w:tblStyle w:val="a8"/>
        <w:tblW w:w="0" w:type="auto"/>
        <w:tblLook w:val="04A0" w:firstRow="1" w:lastRow="0" w:firstColumn="1" w:lastColumn="0" w:noHBand="0" w:noVBand="1"/>
      </w:tblPr>
      <w:tblGrid>
        <w:gridCol w:w="9019"/>
      </w:tblGrid>
      <w:tr w:rsidR="00BB1492" w14:paraId="3F1C3955" w14:textId="77777777" w:rsidTr="00BB1492">
        <w:tc>
          <w:tcPr>
            <w:tcW w:w="9019" w:type="dxa"/>
          </w:tcPr>
          <w:p w14:paraId="0A0363E7" w14:textId="3742A523" w:rsidR="00BB1492" w:rsidRDefault="00BB1492" w:rsidP="0076164A">
            <w:pPr>
              <w:spacing w:after="180"/>
              <w:rPr>
                <w:rFonts w:eastAsia="Batang"/>
                <w:szCs w:val="20"/>
                <w:lang w:eastAsia="x-none"/>
              </w:rPr>
            </w:pPr>
            <w:r w:rsidRPr="00BB1492">
              <w:rPr>
                <w:sz w:val="20"/>
                <w:szCs w:val="20"/>
                <w:lang w:eastAsia="zh-CN"/>
              </w:rPr>
              <w:t>For</w:t>
            </w:r>
            <w:r w:rsidRPr="00BB1492">
              <w:rPr>
                <w:rFonts w:hint="eastAsia"/>
                <w:sz w:val="20"/>
                <w:szCs w:val="20"/>
                <w:lang w:eastAsia="zh-CN"/>
              </w:rPr>
              <w:t xml:space="preserve"> </w:t>
            </w:r>
            <w:r w:rsidRPr="00BB1492">
              <w:rPr>
                <w:sz w:val="20"/>
                <w:szCs w:val="20"/>
                <w:lang w:eastAsia="zh-CN"/>
              </w:rPr>
              <w:t xml:space="preserve">the set of slot timing </w:t>
            </w:r>
            <w:proofErr w:type="gramStart"/>
            <w:r w:rsidRPr="00BB1492">
              <w:rPr>
                <w:sz w:val="20"/>
                <w:szCs w:val="20"/>
                <w:lang w:eastAsia="zh-CN"/>
              </w:rPr>
              <w:t>values</w:t>
            </w:r>
            <w:r w:rsidRPr="00BB1492">
              <w:rPr>
                <w:rFonts w:hint="eastAsia"/>
                <w:sz w:val="20"/>
                <w:szCs w:val="20"/>
                <w:vertAlign w:val="subscript"/>
                <w:lang w:eastAsia="zh-CN"/>
              </w:rPr>
              <w:t xml:space="preserve"> </w:t>
            </w:r>
            <w:proofErr w:type="gramEnd"/>
            <w:r w:rsidRPr="00BB1492">
              <w:rPr>
                <w:noProof/>
                <w:position w:val="-10"/>
                <w:sz w:val="20"/>
                <w:szCs w:val="20"/>
                <w:lang w:eastAsia="zh-CN"/>
              </w:rPr>
              <w:drawing>
                <wp:inline distT="0" distB="0" distL="0" distR="0" wp14:anchorId="43A28D9D" wp14:editId="109100D8">
                  <wp:extent cx="184150" cy="19812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BB1492">
              <w:rPr>
                <w:rFonts w:hint="eastAsia"/>
                <w:sz w:val="20"/>
                <w:szCs w:val="20"/>
                <w:lang w:eastAsia="zh-CN"/>
              </w:rPr>
              <w:t>,</w:t>
            </w:r>
            <w:r w:rsidRPr="00BB1492">
              <w:rPr>
                <w:sz w:val="20"/>
                <w:szCs w:val="20"/>
                <w:lang w:eastAsia="zh-CN"/>
              </w:rPr>
              <w:t xml:space="preserve"> the UE determines a set of</w:t>
            </w:r>
            <w:r w:rsidRPr="00BB1492">
              <w:rPr>
                <w:rFonts w:hint="eastAsia"/>
                <w:sz w:val="20"/>
                <w:szCs w:val="20"/>
                <w:lang w:eastAsia="zh-CN"/>
              </w:rPr>
              <w:t xml:space="preserve"> </w:t>
            </w:r>
            <w:r w:rsidRPr="00BB1492">
              <w:rPr>
                <w:rFonts w:cs="Arial"/>
                <w:noProof/>
                <w:position w:val="-12"/>
                <w:sz w:val="20"/>
                <w:szCs w:val="20"/>
                <w:lang w:eastAsia="zh-CN"/>
              </w:rPr>
              <w:drawing>
                <wp:inline distT="0" distB="0" distL="0" distR="0" wp14:anchorId="4E1FA7A9" wp14:editId="655E002A">
                  <wp:extent cx="273050" cy="2114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211455"/>
                          </a:xfrm>
                          <a:prstGeom prst="rect">
                            <a:avLst/>
                          </a:prstGeom>
                          <a:noFill/>
                          <a:ln>
                            <a:noFill/>
                          </a:ln>
                        </pic:spPr>
                      </pic:pic>
                    </a:graphicData>
                  </a:graphic>
                </wp:inline>
              </w:drawing>
            </w:r>
            <w:r w:rsidRPr="00BB1492">
              <w:rPr>
                <w:sz w:val="20"/>
                <w:szCs w:val="20"/>
                <w:lang w:val="en-GB"/>
              </w:rPr>
              <w:t xml:space="preserve"> occasions for candidate PDSCH receptions</w:t>
            </w:r>
            <w:r w:rsidRPr="00BB1492">
              <w:rPr>
                <w:rFonts w:hint="eastAsia"/>
                <w:sz w:val="20"/>
                <w:szCs w:val="20"/>
                <w:lang w:val="en-GB" w:eastAsia="zh-CN"/>
              </w:rPr>
              <w:t xml:space="preserve"> </w:t>
            </w:r>
            <w:r w:rsidRPr="00BB1492">
              <w:rPr>
                <w:sz w:val="20"/>
                <w:szCs w:val="20"/>
                <w:lang w:val="en-GB" w:eastAsia="zh-CN"/>
              </w:rPr>
              <w:t xml:space="preserve">or SPS PDSCH releases </w:t>
            </w:r>
            <w:r w:rsidRPr="00BB1492">
              <w:rPr>
                <w:rFonts w:hint="eastAsia"/>
                <w:sz w:val="20"/>
                <w:szCs w:val="20"/>
                <w:lang w:val="en-GB" w:eastAsia="zh-CN"/>
              </w:rPr>
              <w:t>according to the following pseudo</w:t>
            </w:r>
            <w:r w:rsidRPr="00BB1492">
              <w:rPr>
                <w:sz w:val="20"/>
                <w:szCs w:val="20"/>
                <w:lang w:val="en-GB" w:eastAsia="zh-CN"/>
              </w:rPr>
              <w:t>-</w:t>
            </w:r>
            <w:r w:rsidRPr="00BB1492">
              <w:rPr>
                <w:rFonts w:hint="eastAsia"/>
                <w:sz w:val="20"/>
                <w:szCs w:val="20"/>
                <w:lang w:val="en-GB" w:eastAsia="zh-CN"/>
              </w:rPr>
              <w:t xml:space="preserve">code. </w:t>
            </w:r>
            <w:r w:rsidRPr="00BB1492">
              <w:rPr>
                <w:sz w:val="20"/>
                <w:szCs w:val="20"/>
                <w:lang w:val="en-GB" w:eastAsia="zh-CN"/>
              </w:rPr>
              <w:t xml:space="preserve">A </w:t>
            </w:r>
            <w:r w:rsidRPr="00BB1492">
              <w:rPr>
                <w:sz w:val="20"/>
                <w:szCs w:val="20"/>
                <w:lang w:eastAsia="x-none"/>
              </w:rPr>
              <w:t xml:space="preserve">location in the Type-1 HARQ-ACK codebook for HARQ-ACK information corresponding to a single SPS PDSCH release is same as for a corresponding SPS PDSCH reception. </w:t>
            </w:r>
          </w:p>
        </w:tc>
      </w:tr>
    </w:tbl>
    <w:p w14:paraId="5B9DEE4A" w14:textId="66094689" w:rsidR="00D43D44" w:rsidRPr="0076164A" w:rsidRDefault="0076164A" w:rsidP="0076164A">
      <w:pPr>
        <w:pStyle w:val="a5"/>
        <w:rPr>
          <w:rFonts w:eastAsia="Batang"/>
          <w:i/>
          <w:lang w:eastAsia="x-none"/>
        </w:rPr>
      </w:pPr>
      <w:r w:rsidRPr="0076164A">
        <w:rPr>
          <w:i/>
          <w:u w:val="single"/>
        </w:rPr>
        <w:t xml:space="preserve">Observation </w:t>
      </w:r>
      <w:r w:rsidRPr="0076164A">
        <w:rPr>
          <w:i/>
          <w:u w:val="single"/>
        </w:rPr>
        <w:fldChar w:fldCharType="begin"/>
      </w:r>
      <w:r w:rsidRPr="0076164A">
        <w:rPr>
          <w:i/>
          <w:u w:val="single"/>
        </w:rPr>
        <w:instrText xml:space="preserve"> SEQ Observation \* ARABIC </w:instrText>
      </w:r>
      <w:r w:rsidRPr="0076164A">
        <w:rPr>
          <w:i/>
          <w:u w:val="single"/>
        </w:rPr>
        <w:fldChar w:fldCharType="separate"/>
      </w:r>
      <w:r w:rsidR="006F796F">
        <w:rPr>
          <w:i/>
          <w:noProof/>
          <w:u w:val="single"/>
        </w:rPr>
        <w:t>1</w:t>
      </w:r>
      <w:r w:rsidRPr="0076164A">
        <w:rPr>
          <w:i/>
          <w:u w:val="single"/>
        </w:rPr>
        <w:fldChar w:fldCharType="end"/>
      </w:r>
      <w:r w:rsidRPr="0076164A">
        <w:rPr>
          <w:i/>
        </w:rPr>
        <w:t xml:space="preserve">: </w:t>
      </w:r>
      <w:r w:rsidR="00387505">
        <w:rPr>
          <w:i/>
        </w:rPr>
        <w:t xml:space="preserve">In </w:t>
      </w:r>
      <w:r w:rsidR="00B72244" w:rsidRPr="0076164A">
        <w:rPr>
          <w:i/>
        </w:rPr>
        <w:t>Rel-15,</w:t>
      </w:r>
      <w:r w:rsidR="00387505">
        <w:rPr>
          <w:i/>
        </w:rPr>
        <w:t xml:space="preserve"> the HARQ-ACK resource is </w:t>
      </w:r>
      <w:r w:rsidR="005345DD">
        <w:rPr>
          <w:i/>
        </w:rPr>
        <w:t xml:space="preserve">determined based on the </w:t>
      </w:r>
      <w:r w:rsidR="005345DD" w:rsidRPr="005345DD">
        <w:rPr>
          <w:i/>
        </w:rPr>
        <w:t>last PUCCH slot overlapping with the SPS PDCCH release</w:t>
      </w:r>
      <w:r w:rsidR="005345DD">
        <w:rPr>
          <w:i/>
        </w:rPr>
        <w:t xml:space="preserve">, </w:t>
      </w:r>
      <w:r w:rsidR="00B72244">
        <w:rPr>
          <w:i/>
        </w:rPr>
        <w:t>while</w:t>
      </w:r>
      <w:r w:rsidR="005345DD">
        <w:rPr>
          <w:i/>
        </w:rPr>
        <w:t xml:space="preserve"> the </w:t>
      </w:r>
      <w:r w:rsidR="005345DD" w:rsidRPr="005345DD">
        <w:rPr>
          <w:i/>
        </w:rPr>
        <w:t>bit location of the SPS release</w:t>
      </w:r>
      <w:r w:rsidR="005345DD">
        <w:rPr>
          <w:i/>
        </w:rPr>
        <w:t xml:space="preserve"> in type-1 codebook is determined by </w:t>
      </w:r>
      <w:r w:rsidR="005345DD" w:rsidRPr="005345DD">
        <w:rPr>
          <w:i/>
        </w:rPr>
        <w:t>the SLIV of the SPS PDSCH</w:t>
      </w:r>
      <w:r w:rsidRPr="0076164A">
        <w:rPr>
          <w:i/>
        </w:rPr>
        <w:t>.</w:t>
      </w:r>
    </w:p>
    <w:p w14:paraId="2DC3FB8C" w14:textId="77777777" w:rsidR="00B0300E" w:rsidRDefault="00B0300E" w:rsidP="00D43D44">
      <w:pPr>
        <w:pStyle w:val="a0"/>
        <w:spacing w:before="120"/>
        <w:rPr>
          <w:rFonts w:eastAsia="Batang"/>
          <w:szCs w:val="20"/>
          <w:lang w:eastAsia="x-none"/>
        </w:rPr>
      </w:pPr>
    </w:p>
    <w:p w14:paraId="1DA3A5D7" w14:textId="1CABFFD1" w:rsidR="0076164A" w:rsidRDefault="0076164A" w:rsidP="00D43D44">
      <w:pPr>
        <w:pStyle w:val="a0"/>
        <w:spacing w:before="120"/>
        <w:rPr>
          <w:rFonts w:eastAsia="Batang"/>
          <w:szCs w:val="20"/>
          <w:lang w:eastAsia="x-none"/>
        </w:rPr>
      </w:pPr>
      <w:r>
        <w:rPr>
          <w:rFonts w:eastAsia="Batang"/>
          <w:szCs w:val="20"/>
          <w:lang w:eastAsia="x-none"/>
        </w:rPr>
        <w:t>This behavior is at least applicable when SPS PDSCH and the corresponding PDCCH release are in the same carrier</w:t>
      </w:r>
      <w:r w:rsidR="00D617CC">
        <w:rPr>
          <w:rFonts w:eastAsia="Batang"/>
          <w:szCs w:val="20"/>
          <w:lang w:eastAsia="x-none"/>
        </w:rPr>
        <w:t>, while the PUCCH can be in the same or different carriers and/or SCSs.</w:t>
      </w:r>
      <w:r>
        <w:rPr>
          <w:rFonts w:eastAsia="Batang"/>
          <w:szCs w:val="20"/>
          <w:lang w:eastAsia="x-none"/>
        </w:rPr>
        <w:t xml:space="preserve"> The UE behavior is not clear in the following cases:</w:t>
      </w:r>
    </w:p>
    <w:p w14:paraId="7B2B87EB" w14:textId="61A063A9" w:rsidR="0076164A" w:rsidRDefault="006D3A11" w:rsidP="006D3A11">
      <w:pPr>
        <w:pStyle w:val="a0"/>
        <w:numPr>
          <w:ilvl w:val="0"/>
          <w:numId w:val="40"/>
        </w:numPr>
        <w:spacing w:before="120"/>
        <w:rPr>
          <w:rFonts w:eastAsia="Batang"/>
          <w:szCs w:val="20"/>
          <w:lang w:eastAsia="x-none"/>
        </w:rPr>
      </w:pPr>
      <w:r w:rsidRPr="009F2A85">
        <w:rPr>
          <w:rFonts w:eastAsia="Batang"/>
          <w:b/>
          <w:i/>
          <w:szCs w:val="20"/>
          <w:u w:val="single"/>
          <w:lang w:eastAsia="x-none"/>
        </w:rPr>
        <w:t>Case-1</w:t>
      </w:r>
      <w:r>
        <w:rPr>
          <w:rFonts w:eastAsia="Batang"/>
          <w:szCs w:val="20"/>
          <w:lang w:eastAsia="x-none"/>
        </w:rPr>
        <w:t xml:space="preserve">: </w:t>
      </w:r>
      <w:r w:rsidR="0076164A">
        <w:rPr>
          <w:rFonts w:eastAsia="Batang"/>
          <w:szCs w:val="20"/>
          <w:lang w:eastAsia="x-none"/>
        </w:rPr>
        <w:t>SPS PDSCH and the corresponding PDCCH release are in different carriers with same SCS</w:t>
      </w:r>
      <w:r w:rsidR="00D6138B">
        <w:rPr>
          <w:rFonts w:eastAsia="Batang"/>
          <w:szCs w:val="20"/>
          <w:lang w:eastAsia="x-none"/>
        </w:rPr>
        <w:t>.</w:t>
      </w:r>
    </w:p>
    <w:p w14:paraId="504E87D0" w14:textId="611C44AD" w:rsidR="0076164A" w:rsidRDefault="006D3A11" w:rsidP="006D3A11">
      <w:pPr>
        <w:pStyle w:val="a0"/>
        <w:numPr>
          <w:ilvl w:val="0"/>
          <w:numId w:val="40"/>
        </w:numPr>
        <w:spacing w:before="120"/>
        <w:rPr>
          <w:rFonts w:eastAsia="Batang"/>
          <w:szCs w:val="20"/>
          <w:lang w:eastAsia="x-none"/>
        </w:rPr>
      </w:pPr>
      <w:r w:rsidRPr="009F2A85">
        <w:rPr>
          <w:rFonts w:eastAsia="Batang"/>
          <w:b/>
          <w:i/>
          <w:szCs w:val="20"/>
          <w:u w:val="single"/>
          <w:lang w:eastAsia="x-none"/>
        </w:rPr>
        <w:t>Case-2</w:t>
      </w:r>
      <w:r>
        <w:rPr>
          <w:rFonts w:eastAsia="Batang"/>
          <w:szCs w:val="20"/>
          <w:lang w:eastAsia="x-none"/>
        </w:rPr>
        <w:t xml:space="preserve">: </w:t>
      </w:r>
      <w:r w:rsidR="0076164A">
        <w:rPr>
          <w:rFonts w:eastAsia="Batang"/>
          <w:szCs w:val="20"/>
          <w:lang w:eastAsia="x-none"/>
        </w:rPr>
        <w:t xml:space="preserve">SPS PDSCH and the corresponding PDCCH release are in different carriers with </w:t>
      </w:r>
      <w:r w:rsidR="00D617CC">
        <w:rPr>
          <w:rFonts w:eastAsia="Batang"/>
          <w:szCs w:val="20"/>
          <w:lang w:eastAsia="x-none"/>
        </w:rPr>
        <w:t>different</w:t>
      </w:r>
      <w:r w:rsidR="0076164A">
        <w:rPr>
          <w:rFonts w:eastAsia="Batang"/>
          <w:szCs w:val="20"/>
          <w:lang w:eastAsia="x-none"/>
        </w:rPr>
        <w:t xml:space="preserve"> SCS</w:t>
      </w:r>
      <w:r w:rsidR="00D617CC">
        <w:rPr>
          <w:rFonts w:eastAsia="Batang"/>
          <w:szCs w:val="20"/>
          <w:lang w:eastAsia="x-none"/>
        </w:rPr>
        <w:t>s</w:t>
      </w:r>
      <w:r w:rsidR="00D6138B">
        <w:rPr>
          <w:rFonts w:eastAsia="Batang"/>
          <w:szCs w:val="20"/>
          <w:lang w:eastAsia="x-none"/>
        </w:rPr>
        <w:t>.</w:t>
      </w:r>
    </w:p>
    <w:p w14:paraId="33865E6B" w14:textId="766AEF90" w:rsidR="0076164A" w:rsidRDefault="006D3A11" w:rsidP="00D43D44">
      <w:pPr>
        <w:pStyle w:val="a0"/>
        <w:spacing w:before="120"/>
        <w:rPr>
          <w:rFonts w:eastAsia="Batang"/>
          <w:szCs w:val="20"/>
          <w:lang w:eastAsia="x-none"/>
        </w:rPr>
      </w:pPr>
      <w:r>
        <w:rPr>
          <w:rFonts w:eastAsia="Batang"/>
          <w:szCs w:val="20"/>
          <w:lang w:eastAsia="x-none"/>
        </w:rPr>
        <w:t>During the discussion in the previous meeting, it seems there is even no common understanding on whether some of these cases are already supported in Rel-15 or not.</w:t>
      </w:r>
      <w:r w:rsidR="005007C6">
        <w:rPr>
          <w:rFonts w:eastAsia="Batang"/>
          <w:szCs w:val="20"/>
          <w:lang w:eastAsia="x-none"/>
        </w:rPr>
        <w:t xml:space="preserve"> </w:t>
      </w:r>
    </w:p>
    <w:p w14:paraId="47E7F7C3" w14:textId="1582EE9D" w:rsidR="006D3A11" w:rsidRDefault="005007C6" w:rsidP="00D43D44">
      <w:pPr>
        <w:pStyle w:val="a0"/>
        <w:spacing w:before="120"/>
        <w:rPr>
          <w:rFonts w:eastAsia="Batang"/>
          <w:szCs w:val="20"/>
          <w:lang w:eastAsia="x-none"/>
        </w:rPr>
      </w:pPr>
      <w:r>
        <w:rPr>
          <w:rFonts w:eastAsia="Batang"/>
          <w:szCs w:val="20"/>
          <w:lang w:eastAsia="x-none"/>
        </w:rPr>
        <w:t xml:space="preserve">Considering that cross-carrier scheduling with same numerology has already been supported in Rel-15, Case-1 may already </w:t>
      </w:r>
      <w:r w:rsidR="00B72244">
        <w:rPr>
          <w:rFonts w:eastAsia="Batang"/>
          <w:szCs w:val="20"/>
          <w:lang w:eastAsia="x-none"/>
        </w:rPr>
        <w:t xml:space="preserve">be </w:t>
      </w:r>
      <w:r>
        <w:rPr>
          <w:rFonts w:eastAsia="Batang"/>
          <w:szCs w:val="20"/>
          <w:lang w:eastAsia="x-none"/>
        </w:rPr>
        <w:t xml:space="preserve">implemented by some UE vendors. </w:t>
      </w:r>
      <w:r w:rsidR="00B72244">
        <w:rPr>
          <w:rFonts w:eastAsia="Batang"/>
          <w:szCs w:val="20"/>
          <w:lang w:eastAsia="x-none"/>
        </w:rPr>
        <w:t>Thus,</w:t>
      </w:r>
      <w:r>
        <w:rPr>
          <w:rFonts w:eastAsia="Batang"/>
          <w:szCs w:val="20"/>
          <w:lang w:eastAsia="x-none"/>
        </w:rPr>
        <w:t xml:space="preserve"> it is desirable not to define a new behavior. In other words, the Rel-15 behavior should be reused for Case-1. More specially, </w:t>
      </w:r>
      <w:r w:rsidR="00387505">
        <w:rPr>
          <w:rFonts w:eastAsia="Batang"/>
          <w:szCs w:val="20"/>
          <w:lang w:eastAsia="x-none"/>
        </w:rPr>
        <w:t xml:space="preserve">the slot of K1=0 for HARQ-ACK </w:t>
      </w:r>
      <w:r w:rsidR="00387505">
        <w:rPr>
          <w:rFonts w:eastAsia="Batang"/>
          <w:szCs w:val="20"/>
          <w:lang w:eastAsia="x-none"/>
        </w:rPr>
        <w:lastRenderedPageBreak/>
        <w:t xml:space="preserve">resource is given by the last PUCCH slot overlapping with the SPS </w:t>
      </w:r>
      <w:r w:rsidR="00387505" w:rsidRPr="00387505">
        <w:rPr>
          <w:rFonts w:eastAsia="Batang"/>
          <w:i/>
          <w:szCs w:val="20"/>
          <w:lang w:eastAsia="x-none"/>
        </w:rPr>
        <w:t>PDCCH</w:t>
      </w:r>
      <w:r w:rsidR="00387505">
        <w:rPr>
          <w:rFonts w:eastAsia="Batang"/>
          <w:szCs w:val="20"/>
          <w:lang w:eastAsia="x-none"/>
        </w:rPr>
        <w:t xml:space="preserve"> release, while </w:t>
      </w:r>
      <w:r>
        <w:rPr>
          <w:rFonts w:eastAsia="Batang"/>
          <w:szCs w:val="20"/>
          <w:lang w:eastAsia="x-none"/>
        </w:rPr>
        <w:t xml:space="preserve">the SLIV of the SPS </w:t>
      </w:r>
      <w:r w:rsidRPr="00387505">
        <w:rPr>
          <w:rFonts w:eastAsia="Batang"/>
          <w:i/>
          <w:szCs w:val="20"/>
          <w:lang w:eastAsia="x-none"/>
        </w:rPr>
        <w:t>PDSCH</w:t>
      </w:r>
      <w:r>
        <w:rPr>
          <w:rFonts w:eastAsia="Batang"/>
          <w:szCs w:val="20"/>
          <w:lang w:eastAsia="x-none"/>
        </w:rPr>
        <w:t xml:space="preserve"> (in a carrier different from that of SPS PDCCH release) is used to determine the A/N location in the type-1 codebook.</w:t>
      </w:r>
    </w:p>
    <w:p w14:paraId="11706245" w14:textId="627BBE01" w:rsidR="00387505" w:rsidRPr="002D4E32" w:rsidRDefault="00387505" w:rsidP="00387505">
      <w:pPr>
        <w:pStyle w:val="a5"/>
        <w:jc w:val="both"/>
        <w:rPr>
          <w:rFonts w:eastAsia="Batang"/>
          <w:lang w:eastAsia="x-none"/>
        </w:rPr>
      </w:pPr>
      <w:bookmarkStart w:id="4" w:name="_Ref37170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F796F">
        <w:rPr>
          <w:i/>
          <w:noProof/>
          <w:u w:val="single"/>
        </w:rPr>
        <w:t>1</w:t>
      </w:r>
      <w:r w:rsidRPr="002D4E32">
        <w:rPr>
          <w:i/>
          <w:u w:val="single"/>
        </w:rPr>
        <w:fldChar w:fldCharType="end"/>
      </w:r>
      <w:r w:rsidRPr="002D4E32">
        <w:rPr>
          <w:i/>
        </w:rPr>
        <w:t>:</w:t>
      </w:r>
      <w:r w:rsidRPr="002D4E32">
        <w:t xml:space="preserve"> </w:t>
      </w:r>
      <w:r w:rsidR="005345DD">
        <w:rPr>
          <w:i/>
        </w:rPr>
        <w:t xml:space="preserve">In the case of </w:t>
      </w:r>
      <w:r w:rsidR="005345DD" w:rsidRPr="005345DD">
        <w:rPr>
          <w:i/>
        </w:rPr>
        <w:t>SPS PDSCH and the corresponding PDCCH release are in different carriers with same SCS</w:t>
      </w:r>
      <w:r w:rsidR="005345DD">
        <w:rPr>
          <w:i/>
        </w:rPr>
        <w:t>,</w:t>
      </w:r>
      <w:r w:rsidR="00B72244">
        <w:rPr>
          <w:i/>
        </w:rPr>
        <w:t xml:space="preserve"> the behavior of</w:t>
      </w:r>
      <w:r w:rsidR="005345DD">
        <w:rPr>
          <w:i/>
        </w:rPr>
        <w:t xml:space="preserve"> </w:t>
      </w:r>
      <w:r w:rsidR="00B72244">
        <w:rPr>
          <w:i/>
        </w:rPr>
        <w:t xml:space="preserve">SPS release in single carrier case is reuse. Specifically, </w:t>
      </w:r>
      <w:r w:rsidR="005345DD">
        <w:rPr>
          <w:i/>
        </w:rPr>
        <w:t xml:space="preserve">the HARQ-ACK resource is determined based on the </w:t>
      </w:r>
      <w:r w:rsidR="005345DD" w:rsidRPr="005345DD">
        <w:rPr>
          <w:i/>
        </w:rPr>
        <w:t>last PUCCH slot overlapping with the SPS PDCCH release</w:t>
      </w:r>
      <w:r w:rsidR="005345DD">
        <w:rPr>
          <w:i/>
        </w:rPr>
        <w:t xml:space="preserve">, </w:t>
      </w:r>
      <w:r w:rsidR="00B72244">
        <w:rPr>
          <w:i/>
        </w:rPr>
        <w:t>while</w:t>
      </w:r>
      <w:r w:rsidR="005345DD">
        <w:rPr>
          <w:i/>
        </w:rPr>
        <w:t xml:space="preserve"> the </w:t>
      </w:r>
      <w:r w:rsidR="005345DD" w:rsidRPr="005345DD">
        <w:rPr>
          <w:i/>
        </w:rPr>
        <w:t>bit location of the SPS release</w:t>
      </w:r>
      <w:r w:rsidR="005345DD">
        <w:rPr>
          <w:i/>
        </w:rPr>
        <w:t xml:space="preserve"> in type-1 codebook is determined by </w:t>
      </w:r>
      <w:r w:rsidR="005345DD" w:rsidRPr="005345DD">
        <w:rPr>
          <w:i/>
        </w:rPr>
        <w:t>the SLIV of the SPS PDSCH</w:t>
      </w:r>
      <w:r w:rsidRPr="002D4E32">
        <w:rPr>
          <w:i/>
        </w:rPr>
        <w:t>.</w:t>
      </w:r>
      <w:bookmarkEnd w:id="4"/>
    </w:p>
    <w:p w14:paraId="4F8FD2E1" w14:textId="0081FC0C" w:rsidR="005007C6" w:rsidRDefault="005007C6" w:rsidP="00D43D44">
      <w:pPr>
        <w:pStyle w:val="a0"/>
        <w:spacing w:before="120"/>
        <w:rPr>
          <w:rFonts w:eastAsia="Batang"/>
          <w:szCs w:val="20"/>
          <w:lang w:eastAsia="x-none"/>
        </w:rPr>
      </w:pPr>
    </w:p>
    <w:p w14:paraId="1E01C12F" w14:textId="5A3635AB" w:rsidR="00387505" w:rsidRDefault="00387505" w:rsidP="00D43D44">
      <w:pPr>
        <w:pStyle w:val="a0"/>
        <w:spacing w:before="120"/>
        <w:rPr>
          <w:rFonts w:eastAsia="Batang"/>
          <w:szCs w:val="20"/>
          <w:lang w:eastAsia="x-none"/>
        </w:rPr>
      </w:pPr>
      <w:r>
        <w:rPr>
          <w:rFonts w:eastAsia="Batang"/>
          <w:szCs w:val="20"/>
          <w:lang w:eastAsia="x-none"/>
        </w:rPr>
        <w:t xml:space="preserve">Further, it is </w:t>
      </w:r>
      <w:r w:rsidR="003929B1">
        <w:rPr>
          <w:rFonts w:eastAsia="Batang"/>
          <w:szCs w:val="20"/>
          <w:lang w:eastAsia="x-none"/>
        </w:rPr>
        <w:t xml:space="preserve">favorable </w:t>
      </w:r>
      <w:r>
        <w:rPr>
          <w:rFonts w:eastAsia="Batang"/>
          <w:szCs w:val="20"/>
          <w:lang w:eastAsia="x-none"/>
        </w:rPr>
        <w:t xml:space="preserve">to strive for a common solution also for Case-2. At least there seems to be no issue to reuse the last PUCCH slot overlapping with the SPS </w:t>
      </w:r>
      <w:r w:rsidRPr="00387505">
        <w:rPr>
          <w:rFonts w:eastAsia="Batang"/>
          <w:i/>
          <w:szCs w:val="20"/>
          <w:lang w:eastAsia="x-none"/>
        </w:rPr>
        <w:t>PDCCH</w:t>
      </w:r>
      <w:r>
        <w:rPr>
          <w:rFonts w:eastAsia="Batang"/>
          <w:szCs w:val="20"/>
          <w:lang w:eastAsia="x-none"/>
        </w:rPr>
        <w:t xml:space="preserve"> release to determine the slot of K1=0</w:t>
      </w:r>
      <w:r w:rsidR="00982F8D">
        <w:rPr>
          <w:rFonts w:eastAsia="Batang"/>
          <w:szCs w:val="20"/>
          <w:lang w:eastAsia="x-none"/>
        </w:rPr>
        <w:t xml:space="preserve">, as shown in </w:t>
      </w:r>
      <w:r w:rsidR="00982F8D">
        <w:rPr>
          <w:rFonts w:eastAsia="Batang"/>
          <w:szCs w:val="20"/>
          <w:lang w:eastAsia="x-none"/>
        </w:rPr>
        <w:fldChar w:fldCharType="begin"/>
      </w:r>
      <w:r w:rsidR="00982F8D">
        <w:rPr>
          <w:rFonts w:eastAsia="Batang"/>
          <w:szCs w:val="20"/>
          <w:lang w:eastAsia="x-none"/>
        </w:rPr>
        <w:instrText xml:space="preserve"> REF _Ref36824556 \h </w:instrText>
      </w:r>
      <w:r w:rsidR="00982F8D">
        <w:rPr>
          <w:rFonts w:eastAsia="Batang"/>
          <w:szCs w:val="20"/>
          <w:lang w:eastAsia="x-none"/>
        </w:rPr>
      </w:r>
      <w:r w:rsidR="00982F8D">
        <w:rPr>
          <w:rFonts w:eastAsia="Batang"/>
          <w:szCs w:val="20"/>
          <w:lang w:eastAsia="x-none"/>
        </w:rPr>
        <w:fldChar w:fldCharType="separate"/>
      </w:r>
      <w:r w:rsidR="006F796F">
        <w:t xml:space="preserve">Figure </w:t>
      </w:r>
      <w:r w:rsidR="006F796F">
        <w:rPr>
          <w:noProof/>
        </w:rPr>
        <w:t>1</w:t>
      </w:r>
      <w:r w:rsidR="00982F8D">
        <w:rPr>
          <w:rFonts w:eastAsia="Batang"/>
          <w:szCs w:val="20"/>
          <w:lang w:eastAsia="x-none"/>
        </w:rPr>
        <w:fldChar w:fldCharType="end"/>
      </w:r>
      <w:r>
        <w:rPr>
          <w:rFonts w:eastAsia="Batang"/>
          <w:szCs w:val="20"/>
          <w:lang w:eastAsia="x-none"/>
        </w:rPr>
        <w:t>.</w:t>
      </w:r>
    </w:p>
    <w:p w14:paraId="094003B8" w14:textId="1A25EF42" w:rsidR="003929B1" w:rsidRPr="002D4E32" w:rsidRDefault="003929B1" w:rsidP="003929B1">
      <w:pPr>
        <w:pStyle w:val="a5"/>
        <w:jc w:val="both"/>
        <w:rPr>
          <w:rFonts w:eastAsia="Batang"/>
          <w:lang w:eastAsia="x-none"/>
        </w:rPr>
      </w:pPr>
      <w:bookmarkStart w:id="5" w:name="_Ref3717087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F796F">
        <w:rPr>
          <w:i/>
          <w:noProof/>
          <w:u w:val="single"/>
        </w:rPr>
        <w:t>2</w:t>
      </w:r>
      <w:r w:rsidRPr="002D4E32">
        <w:rPr>
          <w:i/>
          <w:u w:val="single"/>
        </w:rPr>
        <w:fldChar w:fldCharType="end"/>
      </w:r>
      <w:r w:rsidRPr="002D4E32">
        <w:rPr>
          <w:i/>
        </w:rPr>
        <w:t>:</w:t>
      </w:r>
      <w:r w:rsidRPr="002D4E32">
        <w:t xml:space="preserve"> </w:t>
      </w:r>
      <w:r>
        <w:rPr>
          <w:i/>
        </w:rPr>
        <w:t xml:space="preserve">In the case of </w:t>
      </w:r>
      <w:r w:rsidRPr="005345DD">
        <w:rPr>
          <w:i/>
        </w:rPr>
        <w:t xml:space="preserve">SPS PDSCH and the corresponding PDCCH release are in different carriers with </w:t>
      </w:r>
      <w:r>
        <w:rPr>
          <w:i/>
        </w:rPr>
        <w:t>different</w:t>
      </w:r>
      <w:r w:rsidRPr="005345DD">
        <w:rPr>
          <w:i/>
        </w:rPr>
        <w:t xml:space="preserve"> SCS</w:t>
      </w:r>
      <w:r>
        <w:rPr>
          <w:i/>
        </w:rPr>
        <w:t xml:space="preserve">s, the HARQ-ACK resource is determined based on the </w:t>
      </w:r>
      <w:r w:rsidRPr="005345DD">
        <w:rPr>
          <w:i/>
        </w:rPr>
        <w:t>last PUCCH slot overlapping with the SPS PDCCH release</w:t>
      </w:r>
      <w:r>
        <w:rPr>
          <w:i/>
        </w:rPr>
        <w:t xml:space="preserve"> (i.e., same as SPS release in single carrier case)</w:t>
      </w:r>
      <w:r w:rsidRPr="002D4E32">
        <w:rPr>
          <w:i/>
        </w:rPr>
        <w:t>.</w:t>
      </w:r>
      <w:bookmarkEnd w:id="5"/>
    </w:p>
    <w:p w14:paraId="36C08300" w14:textId="77777777" w:rsidR="005007C6" w:rsidRDefault="005007C6" w:rsidP="00D43D44">
      <w:pPr>
        <w:pStyle w:val="a0"/>
        <w:spacing w:before="120"/>
        <w:rPr>
          <w:rFonts w:eastAsia="Batang"/>
          <w:szCs w:val="20"/>
          <w:lang w:eastAsia="x-none"/>
        </w:rPr>
      </w:pPr>
    </w:p>
    <w:tbl>
      <w:tblPr>
        <w:tblStyle w:val="a8"/>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gridCol w:w="4513"/>
      </w:tblGrid>
      <w:tr w:rsidR="0062390E" w14:paraId="70299B33" w14:textId="77777777" w:rsidTr="00982F8D">
        <w:trPr>
          <w:jc w:val="center"/>
        </w:trPr>
        <w:tc>
          <w:tcPr>
            <w:tcW w:w="2503" w:type="pct"/>
          </w:tcPr>
          <w:p w14:paraId="16CF58F4" w14:textId="77F4AC09" w:rsidR="00982F8D" w:rsidRDefault="001B2C10" w:rsidP="00D43D44">
            <w:pPr>
              <w:pStyle w:val="a0"/>
              <w:spacing w:before="120"/>
              <w:rPr>
                <w:rFonts w:eastAsia="Batang"/>
                <w:szCs w:val="20"/>
                <w:lang w:eastAsia="x-none"/>
              </w:rPr>
            </w:pPr>
            <w:r w:rsidRPr="001B2C10">
              <w:rPr>
                <w:rFonts w:eastAsia="Batang"/>
                <w:noProof/>
                <w:lang w:eastAsia="zh-CN"/>
              </w:rPr>
              <w:drawing>
                <wp:inline distT="0" distB="0" distL="0" distR="0" wp14:anchorId="0078C5F7" wp14:editId="57460BDD">
                  <wp:extent cx="2784143" cy="1843696"/>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0492" cy="1854523"/>
                          </a:xfrm>
                          <a:prstGeom prst="rect">
                            <a:avLst/>
                          </a:prstGeom>
                          <a:noFill/>
                          <a:ln>
                            <a:noFill/>
                          </a:ln>
                        </pic:spPr>
                      </pic:pic>
                    </a:graphicData>
                  </a:graphic>
                </wp:inline>
              </w:drawing>
            </w:r>
          </w:p>
        </w:tc>
        <w:tc>
          <w:tcPr>
            <w:tcW w:w="2497" w:type="pct"/>
          </w:tcPr>
          <w:p w14:paraId="2B9437B3" w14:textId="742FC766" w:rsidR="00982F8D" w:rsidRDefault="001B2C10" w:rsidP="00D43D44">
            <w:pPr>
              <w:pStyle w:val="a0"/>
              <w:spacing w:before="120"/>
              <w:rPr>
                <w:rFonts w:eastAsia="Batang"/>
                <w:szCs w:val="20"/>
                <w:lang w:eastAsia="x-none"/>
              </w:rPr>
            </w:pPr>
            <w:r w:rsidRPr="001B2C10">
              <w:rPr>
                <w:rFonts w:eastAsia="Batang"/>
                <w:noProof/>
                <w:lang w:eastAsia="zh-CN"/>
              </w:rPr>
              <w:drawing>
                <wp:inline distT="0" distB="0" distL="0" distR="0" wp14:anchorId="680194AB" wp14:editId="578C5B35">
                  <wp:extent cx="2777319" cy="1839177"/>
                  <wp:effectExtent l="0" t="0" r="444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0059" cy="1847614"/>
                          </a:xfrm>
                          <a:prstGeom prst="rect">
                            <a:avLst/>
                          </a:prstGeom>
                          <a:noFill/>
                          <a:ln>
                            <a:noFill/>
                          </a:ln>
                        </pic:spPr>
                      </pic:pic>
                    </a:graphicData>
                  </a:graphic>
                </wp:inline>
              </w:drawing>
            </w:r>
          </w:p>
        </w:tc>
      </w:tr>
      <w:tr w:rsidR="0062390E" w14:paraId="50D6A152" w14:textId="77777777" w:rsidTr="00982F8D">
        <w:trPr>
          <w:jc w:val="center"/>
        </w:trPr>
        <w:tc>
          <w:tcPr>
            <w:tcW w:w="2503" w:type="pct"/>
          </w:tcPr>
          <w:p w14:paraId="7B3DDA97" w14:textId="54F7AD4A" w:rsidR="00982F8D" w:rsidRPr="00982F8D" w:rsidRDefault="00982F8D" w:rsidP="00982F8D">
            <w:pPr>
              <w:pStyle w:val="a0"/>
              <w:spacing w:before="120"/>
              <w:jc w:val="center"/>
              <w:rPr>
                <w:rFonts w:eastAsia="Batang"/>
              </w:rPr>
            </w:pPr>
            <w:r>
              <w:rPr>
                <w:rFonts w:eastAsia="Batang"/>
              </w:rPr>
              <w:t>Case-2a</w:t>
            </w:r>
          </w:p>
        </w:tc>
        <w:tc>
          <w:tcPr>
            <w:tcW w:w="2497" w:type="pct"/>
          </w:tcPr>
          <w:p w14:paraId="0EF7BB3C" w14:textId="3CBFDC4E" w:rsidR="00982F8D" w:rsidRPr="00982F8D" w:rsidRDefault="00982F8D" w:rsidP="00982F8D">
            <w:pPr>
              <w:pStyle w:val="a0"/>
              <w:spacing w:before="120"/>
              <w:jc w:val="center"/>
              <w:rPr>
                <w:rFonts w:eastAsia="Batang"/>
              </w:rPr>
            </w:pPr>
            <w:r>
              <w:rPr>
                <w:rFonts w:eastAsia="Batang"/>
              </w:rPr>
              <w:t>Case-2b</w:t>
            </w:r>
          </w:p>
        </w:tc>
      </w:tr>
    </w:tbl>
    <w:p w14:paraId="7CACB102" w14:textId="66A02E3D" w:rsidR="00E91B0A" w:rsidRDefault="00982F8D" w:rsidP="00982F8D">
      <w:pPr>
        <w:pStyle w:val="a5"/>
        <w:jc w:val="center"/>
        <w:rPr>
          <w:rFonts w:eastAsia="Batang"/>
          <w:lang w:eastAsia="x-none"/>
        </w:rPr>
      </w:pPr>
      <w:bookmarkStart w:id="6" w:name="_Ref36824556"/>
      <w:bookmarkStart w:id="7" w:name="_Ref36824553"/>
      <w:r>
        <w:t xml:space="preserve">Figure </w:t>
      </w:r>
      <w:r w:rsidR="00120A87">
        <w:rPr>
          <w:noProof/>
        </w:rPr>
        <w:fldChar w:fldCharType="begin"/>
      </w:r>
      <w:r w:rsidR="00120A87">
        <w:rPr>
          <w:noProof/>
        </w:rPr>
        <w:instrText xml:space="preserve"> SEQ Figure \* ARABIC </w:instrText>
      </w:r>
      <w:r w:rsidR="00120A87">
        <w:rPr>
          <w:noProof/>
        </w:rPr>
        <w:fldChar w:fldCharType="separate"/>
      </w:r>
      <w:r w:rsidR="006F796F">
        <w:rPr>
          <w:noProof/>
        </w:rPr>
        <w:t>1</w:t>
      </w:r>
      <w:r w:rsidR="00120A87">
        <w:rPr>
          <w:noProof/>
        </w:rPr>
        <w:fldChar w:fldCharType="end"/>
      </w:r>
      <w:bookmarkEnd w:id="6"/>
      <w:r>
        <w:t xml:space="preserve"> Examples of SPS </w:t>
      </w:r>
      <w:r>
        <w:rPr>
          <w:rFonts w:eastAsia="Batang"/>
          <w:lang w:eastAsia="x-none"/>
        </w:rPr>
        <w:t>release in different carriers with different SCSs</w:t>
      </w:r>
      <w:bookmarkEnd w:id="7"/>
    </w:p>
    <w:p w14:paraId="68A6CA6A" w14:textId="77777777" w:rsidR="007B6AD6" w:rsidRDefault="006A7235" w:rsidP="00D43D44">
      <w:pPr>
        <w:pStyle w:val="a0"/>
        <w:spacing w:before="120"/>
        <w:rPr>
          <w:rFonts w:eastAsia="Batang"/>
          <w:szCs w:val="20"/>
          <w:lang w:eastAsia="x-none"/>
        </w:rPr>
      </w:pPr>
      <w:r>
        <w:rPr>
          <w:rFonts w:eastAsia="Batang"/>
          <w:szCs w:val="20"/>
          <w:lang w:eastAsia="x-none"/>
        </w:rPr>
        <w:t xml:space="preserve">Regarding the A/N location, </w:t>
      </w:r>
      <w:r w:rsidR="003929B1">
        <w:rPr>
          <w:rFonts w:eastAsia="Batang"/>
          <w:szCs w:val="20"/>
          <w:lang w:eastAsia="x-none"/>
        </w:rPr>
        <w:t xml:space="preserve">the principle of using SLIV of the SPS </w:t>
      </w:r>
      <w:r w:rsidR="003929B1" w:rsidRPr="00387505">
        <w:rPr>
          <w:rFonts w:eastAsia="Batang"/>
          <w:i/>
          <w:szCs w:val="20"/>
          <w:lang w:eastAsia="x-none"/>
        </w:rPr>
        <w:t>PDSCH</w:t>
      </w:r>
      <w:r w:rsidR="003929B1">
        <w:rPr>
          <w:rFonts w:eastAsia="Batang"/>
          <w:szCs w:val="20"/>
          <w:lang w:eastAsia="x-none"/>
        </w:rPr>
        <w:t xml:space="preserve"> to determine the A/N location in the type-1 codebook is still reasonable. However, there may be ambiguous in some cases on which SPS PDSCH slot should be the reference slot to derive SLIV</w:t>
      </w:r>
      <w:r w:rsidR="003929B1" w:rsidRPr="003929B1">
        <w:rPr>
          <w:rFonts w:eastAsia="Batang"/>
          <w:szCs w:val="20"/>
          <w:lang w:eastAsia="x-none"/>
        </w:rPr>
        <w:t xml:space="preserve"> </w:t>
      </w:r>
      <w:r w:rsidR="003929B1">
        <w:rPr>
          <w:rFonts w:eastAsia="Batang"/>
          <w:szCs w:val="20"/>
          <w:lang w:eastAsia="x-none"/>
        </w:rPr>
        <w:t xml:space="preserve">in the type-1 codebook, as shown in Case-2b in </w:t>
      </w:r>
      <w:r w:rsidR="003929B1">
        <w:rPr>
          <w:rFonts w:eastAsia="Batang"/>
          <w:szCs w:val="20"/>
          <w:lang w:eastAsia="x-none"/>
        </w:rPr>
        <w:fldChar w:fldCharType="begin"/>
      </w:r>
      <w:r w:rsidR="003929B1">
        <w:rPr>
          <w:rFonts w:eastAsia="Batang"/>
          <w:szCs w:val="20"/>
          <w:lang w:eastAsia="x-none"/>
        </w:rPr>
        <w:instrText xml:space="preserve"> REF _Ref36824556 \h </w:instrText>
      </w:r>
      <w:r w:rsidR="003929B1">
        <w:rPr>
          <w:rFonts w:eastAsia="Batang"/>
          <w:szCs w:val="20"/>
          <w:lang w:eastAsia="x-none"/>
        </w:rPr>
      </w:r>
      <w:r w:rsidR="003929B1">
        <w:rPr>
          <w:rFonts w:eastAsia="Batang"/>
          <w:szCs w:val="20"/>
          <w:lang w:eastAsia="x-none"/>
        </w:rPr>
        <w:fldChar w:fldCharType="separate"/>
      </w:r>
      <w:r w:rsidR="006F796F">
        <w:t xml:space="preserve">Figure </w:t>
      </w:r>
      <w:r w:rsidR="006F796F">
        <w:rPr>
          <w:noProof/>
        </w:rPr>
        <w:t>1</w:t>
      </w:r>
      <w:r w:rsidR="003929B1">
        <w:rPr>
          <w:rFonts w:eastAsia="Batang"/>
          <w:szCs w:val="20"/>
          <w:lang w:eastAsia="x-none"/>
        </w:rPr>
        <w:fldChar w:fldCharType="end"/>
      </w:r>
      <w:r w:rsidR="003929B1">
        <w:rPr>
          <w:rFonts w:eastAsia="Batang"/>
          <w:szCs w:val="20"/>
          <w:lang w:eastAsia="x-none"/>
        </w:rPr>
        <w:t xml:space="preserve">. In this case, it is questionable which slot (either the yellow slot </w:t>
      </w:r>
      <w:r w:rsidR="003929B1" w:rsidRPr="003929B1">
        <w:rPr>
          <w:rFonts w:eastAsia="Batang"/>
          <w:i/>
          <w:szCs w:val="20"/>
          <w:lang w:eastAsia="x-none"/>
        </w:rPr>
        <w:t>2n</w:t>
      </w:r>
      <w:r w:rsidR="003929B1">
        <w:rPr>
          <w:rFonts w:eastAsia="Batang"/>
          <w:szCs w:val="20"/>
          <w:lang w:eastAsia="x-none"/>
        </w:rPr>
        <w:t xml:space="preserve"> or the green slot</w:t>
      </w:r>
      <w:r w:rsidR="003929B1" w:rsidRPr="003929B1">
        <w:rPr>
          <w:rFonts w:eastAsia="Batang"/>
          <w:i/>
          <w:szCs w:val="20"/>
          <w:lang w:eastAsia="x-none"/>
        </w:rPr>
        <w:t xml:space="preserve"> 2n+1</w:t>
      </w:r>
      <w:r w:rsidR="003929B1">
        <w:rPr>
          <w:rFonts w:eastAsia="Batang"/>
          <w:szCs w:val="20"/>
          <w:lang w:eastAsia="x-none"/>
        </w:rPr>
        <w:t xml:space="preserve">) should be the reference slot. </w:t>
      </w:r>
    </w:p>
    <w:p w14:paraId="45D2A4FA" w14:textId="4BF41A6C" w:rsidR="004A5DAE" w:rsidRDefault="004A5DAE" w:rsidP="00D43D44">
      <w:pPr>
        <w:pStyle w:val="a0"/>
        <w:spacing w:before="120"/>
        <w:rPr>
          <w:rFonts w:eastAsia="Batang"/>
          <w:szCs w:val="20"/>
          <w:lang w:eastAsia="x-none"/>
        </w:rPr>
      </w:pPr>
      <w:r>
        <w:rPr>
          <w:rFonts w:eastAsia="Batang"/>
          <w:szCs w:val="20"/>
          <w:lang w:eastAsia="x-none"/>
        </w:rPr>
        <w:t xml:space="preserve">Although either slot may be possible, given that the reference slot of PUCCH (i.e., K1=0) is the </w:t>
      </w:r>
      <w:r w:rsidRPr="004A5DAE">
        <w:rPr>
          <w:rFonts w:eastAsia="Batang"/>
          <w:i/>
          <w:szCs w:val="20"/>
          <w:u w:val="single"/>
          <w:lang w:eastAsia="x-none"/>
        </w:rPr>
        <w:t>last slot of PUCCH</w:t>
      </w:r>
      <w:r>
        <w:rPr>
          <w:rFonts w:eastAsia="Batang"/>
          <w:szCs w:val="20"/>
          <w:lang w:eastAsia="x-none"/>
        </w:rPr>
        <w:t xml:space="preserve"> transmission overlapping with the SPS PDCCH release, it is </w:t>
      </w:r>
      <w:r w:rsidR="00FB28A2">
        <w:rPr>
          <w:rFonts w:eastAsia="Batang"/>
          <w:szCs w:val="20"/>
          <w:lang w:eastAsia="x-none"/>
        </w:rPr>
        <w:t>reasonable</w:t>
      </w:r>
      <w:r>
        <w:rPr>
          <w:rFonts w:eastAsia="Batang"/>
          <w:szCs w:val="20"/>
          <w:lang w:eastAsia="x-none"/>
        </w:rPr>
        <w:t xml:space="preserve"> to use the </w:t>
      </w:r>
      <w:r w:rsidRPr="00FB28A2">
        <w:rPr>
          <w:rFonts w:eastAsia="Batang"/>
          <w:i/>
          <w:szCs w:val="20"/>
          <w:u w:val="single"/>
          <w:lang w:eastAsia="x-none"/>
        </w:rPr>
        <w:t>last slot of SPS PDSCH</w:t>
      </w:r>
      <w:r>
        <w:rPr>
          <w:rFonts w:eastAsia="Batang"/>
          <w:szCs w:val="20"/>
          <w:lang w:eastAsia="x-none"/>
        </w:rPr>
        <w:t xml:space="preserve"> overlap</w:t>
      </w:r>
      <w:r w:rsidR="00832A5A">
        <w:rPr>
          <w:rFonts w:eastAsia="Batang"/>
          <w:szCs w:val="20"/>
          <w:lang w:eastAsia="x-none"/>
        </w:rPr>
        <w:t>ping</w:t>
      </w:r>
      <w:r>
        <w:rPr>
          <w:rFonts w:eastAsia="Batang"/>
          <w:szCs w:val="20"/>
          <w:lang w:eastAsia="x-none"/>
        </w:rPr>
        <w:t xml:space="preserve"> with the</w:t>
      </w:r>
      <w:r w:rsidRPr="004A5DAE">
        <w:rPr>
          <w:rFonts w:eastAsia="Batang"/>
          <w:szCs w:val="20"/>
          <w:lang w:eastAsia="x-none"/>
        </w:rPr>
        <w:t xml:space="preserve"> </w:t>
      </w:r>
      <w:r>
        <w:rPr>
          <w:rFonts w:eastAsia="Batang"/>
          <w:szCs w:val="20"/>
          <w:lang w:eastAsia="x-none"/>
        </w:rPr>
        <w:t>SPS PDCCH release</w:t>
      </w:r>
      <w:r w:rsidR="00FB28A2">
        <w:rPr>
          <w:rFonts w:eastAsia="Batang"/>
          <w:szCs w:val="20"/>
          <w:lang w:eastAsia="x-none"/>
        </w:rPr>
        <w:t xml:space="preserve"> as the reference slot of SLIV for A/N bit location.</w:t>
      </w:r>
      <w:r w:rsidR="00654A8C">
        <w:rPr>
          <w:rFonts w:eastAsia="Batang"/>
          <w:szCs w:val="20"/>
          <w:lang w:eastAsia="x-none"/>
        </w:rPr>
        <w:t xml:space="preserve"> The corresponding TPs are provided as below:</w:t>
      </w:r>
    </w:p>
    <w:tbl>
      <w:tblPr>
        <w:tblStyle w:val="a8"/>
        <w:tblW w:w="0" w:type="auto"/>
        <w:tblLook w:val="04A0" w:firstRow="1" w:lastRow="0" w:firstColumn="1" w:lastColumn="0" w:noHBand="0" w:noVBand="1"/>
      </w:tblPr>
      <w:tblGrid>
        <w:gridCol w:w="9019"/>
      </w:tblGrid>
      <w:tr w:rsidR="00654A8C" w14:paraId="29AB0DBE" w14:textId="77777777" w:rsidTr="00627C2C">
        <w:tc>
          <w:tcPr>
            <w:tcW w:w="9019" w:type="dxa"/>
          </w:tcPr>
          <w:p w14:paraId="53DEE95A" w14:textId="77777777" w:rsidR="00654A8C" w:rsidRPr="00B72244" w:rsidRDefault="00654A8C" w:rsidP="00627C2C">
            <w:pPr>
              <w:spacing w:after="180"/>
              <w:rPr>
                <w:rFonts w:eastAsiaTheme="minorEastAsia"/>
                <w:noProof/>
                <w:lang w:eastAsia="zh-CN"/>
              </w:rPr>
            </w:pPr>
            <w:bookmarkStart w:id="8" w:name="_Ref15913782"/>
            <w:r w:rsidRPr="00B72244">
              <w:rPr>
                <w:noProof/>
                <w:sz w:val="20"/>
                <w:szCs w:val="20"/>
                <w:lang w:eastAsia="zh-CN"/>
              </w:rPr>
              <w:t>For the set of slot timing values</w:t>
            </w:r>
            <w:r w:rsidRPr="00B72244">
              <w:rPr>
                <w:noProof/>
                <w:sz w:val="20"/>
                <w:szCs w:val="20"/>
                <w:vertAlign w:val="subscript"/>
                <w:lang w:eastAsia="zh-CN"/>
              </w:rPr>
              <w:t xml:space="preserve"> </w:t>
            </w:r>
            <w:r w:rsidRPr="00B72244">
              <w:rPr>
                <w:noProof/>
                <w:position w:val="-10"/>
                <w:sz w:val="20"/>
                <w:szCs w:val="20"/>
                <w:lang w:eastAsia="zh-CN"/>
              </w:rPr>
              <w:drawing>
                <wp:inline distT="0" distB="0" distL="0" distR="0" wp14:anchorId="4DD5B3DF" wp14:editId="1A624E8D">
                  <wp:extent cx="182880" cy="182880"/>
                  <wp:effectExtent l="0" t="0" r="762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72244">
              <w:rPr>
                <w:noProof/>
                <w:sz w:val="20"/>
                <w:szCs w:val="20"/>
                <w:lang w:eastAsia="zh-CN"/>
              </w:rPr>
              <w:t xml:space="preserve">, the UE determines a set of </w:t>
            </w:r>
            <w:r w:rsidRPr="00B72244">
              <w:rPr>
                <w:rFonts w:cs="Arial"/>
                <w:noProof/>
                <w:position w:val="-12"/>
                <w:sz w:val="20"/>
                <w:szCs w:val="20"/>
                <w:lang w:eastAsia="zh-CN"/>
              </w:rPr>
              <w:drawing>
                <wp:inline distT="0" distB="0" distL="0" distR="0" wp14:anchorId="486C3736" wp14:editId="7A8EF119">
                  <wp:extent cx="274320" cy="1828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72244">
              <w:rPr>
                <w:noProof/>
                <w:sz w:val="20"/>
                <w:szCs w:val="20"/>
              </w:rPr>
              <w:t xml:space="preserve"> occasions for candidate PDSCH receptions</w:t>
            </w:r>
            <w:r w:rsidRPr="00B72244">
              <w:rPr>
                <w:noProof/>
                <w:sz w:val="20"/>
                <w:szCs w:val="20"/>
                <w:lang w:eastAsia="zh-CN"/>
              </w:rPr>
              <w:t xml:space="preserve"> or SPS PDSCH releases according to the following pseudo-code. A </w:t>
            </w:r>
            <w:r w:rsidRPr="00B72244">
              <w:rPr>
                <w:noProof/>
                <w:sz w:val="20"/>
                <w:szCs w:val="20"/>
                <w:lang w:eastAsia="x-none"/>
              </w:rPr>
              <w:t xml:space="preserve">location in the Type-1 HARQ-ACK codebook for HARQ-ACK information corresponding to a single SPS PDSCH release is same as for a corresponding SPS PDSCH reception, or </w:t>
            </w:r>
            <w:r w:rsidRPr="00B72244">
              <w:rPr>
                <w:noProof/>
                <w:color w:val="FF0000"/>
                <w:sz w:val="20"/>
                <w:szCs w:val="20"/>
                <w:u w:val="single"/>
                <w:lang w:eastAsia="x-none"/>
              </w:rPr>
              <w:t>a corresponding SPS PDSCH reception in the last slot that overlaps with the PDCCH reception of SPS PDSCH release if they have different SCS configurations</w:t>
            </w:r>
            <w:r w:rsidRPr="00B72244">
              <w:rPr>
                <w:noProof/>
                <w:sz w:val="20"/>
                <w:szCs w:val="20"/>
                <w:lang w:eastAsia="x-none"/>
              </w:rPr>
              <w:t>. A location in the Type-1 HARQ-ACK codebook for HARQ-ACK information corresponding to multiple SPS PDSCH releases by a single DCI format is same as for a corresponding SPS PDSCH reception with the lowest SPS configuration index among the multiple SPS PDSCH releases</w:t>
            </w:r>
            <w:r w:rsidRPr="00B72244">
              <w:rPr>
                <w:noProof/>
                <w:color w:val="FF0000"/>
                <w:sz w:val="20"/>
                <w:szCs w:val="20"/>
                <w:u w:val="single"/>
                <w:lang w:eastAsia="x-none"/>
              </w:rPr>
              <w:t>, or a corresponding SPS PDSCH reception with the lowest SPS configuration index among the multiple SPS PDSCH releases in the last slot that overlaps with the PDCCH carrying the SPS PDSCH release if they have different SCS configurations</w:t>
            </w:r>
            <w:r w:rsidRPr="00B72244">
              <w:rPr>
                <w:noProof/>
                <w:sz w:val="20"/>
                <w:szCs w:val="20"/>
                <w:lang w:eastAsia="x-none"/>
              </w:rPr>
              <w:t>.</w:t>
            </w:r>
          </w:p>
        </w:tc>
      </w:tr>
    </w:tbl>
    <w:p w14:paraId="2A7A6AEB" w14:textId="55511E97" w:rsidR="0006200C" w:rsidRPr="002D4E32" w:rsidRDefault="0006200C" w:rsidP="0006200C">
      <w:pPr>
        <w:pStyle w:val="a5"/>
        <w:jc w:val="both"/>
        <w:rPr>
          <w:rFonts w:eastAsia="Batang"/>
          <w:lang w:eastAsia="x-none"/>
        </w:rPr>
      </w:pPr>
      <w:bookmarkStart w:id="9" w:name="_Ref3717088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F796F">
        <w:rPr>
          <w:i/>
          <w:noProof/>
          <w:u w:val="single"/>
        </w:rPr>
        <w:t>3</w:t>
      </w:r>
      <w:r w:rsidRPr="002D4E32">
        <w:rPr>
          <w:i/>
          <w:u w:val="single"/>
        </w:rPr>
        <w:fldChar w:fldCharType="end"/>
      </w:r>
      <w:r w:rsidRPr="002D4E32">
        <w:rPr>
          <w:i/>
        </w:rPr>
        <w:t>:</w:t>
      </w:r>
      <w:r w:rsidRPr="002D4E32">
        <w:t xml:space="preserve"> </w:t>
      </w:r>
      <w:r w:rsidR="00832A5A">
        <w:rPr>
          <w:i/>
        </w:rPr>
        <w:t xml:space="preserve">In the case of </w:t>
      </w:r>
      <w:r w:rsidR="00832A5A" w:rsidRPr="005345DD">
        <w:rPr>
          <w:i/>
        </w:rPr>
        <w:t xml:space="preserve">SPS PDSCH and the corresponding PDCCH release are in different carriers with </w:t>
      </w:r>
      <w:r w:rsidR="00832A5A">
        <w:rPr>
          <w:i/>
        </w:rPr>
        <w:t>different</w:t>
      </w:r>
      <w:r w:rsidR="00832A5A" w:rsidRPr="005345DD">
        <w:rPr>
          <w:i/>
        </w:rPr>
        <w:t xml:space="preserve"> SCS</w:t>
      </w:r>
      <w:r w:rsidR="00832A5A">
        <w:rPr>
          <w:i/>
        </w:rPr>
        <w:t xml:space="preserve">s, the HARQ-ACK </w:t>
      </w:r>
      <w:r w:rsidR="00832A5A" w:rsidRPr="005345DD">
        <w:rPr>
          <w:i/>
        </w:rPr>
        <w:t>bit location of the SPS release</w:t>
      </w:r>
      <w:r w:rsidR="00832A5A">
        <w:rPr>
          <w:i/>
        </w:rPr>
        <w:t xml:space="preserve"> in type-1 codebook is determined by </w:t>
      </w:r>
      <w:r w:rsidR="00832A5A" w:rsidRPr="005345DD">
        <w:rPr>
          <w:i/>
        </w:rPr>
        <w:t xml:space="preserve">the SLIV of the </w:t>
      </w:r>
      <w:r w:rsidR="00832A5A">
        <w:rPr>
          <w:i/>
        </w:rPr>
        <w:t xml:space="preserve">last slot of </w:t>
      </w:r>
      <w:r w:rsidR="00832A5A" w:rsidRPr="005345DD">
        <w:rPr>
          <w:i/>
        </w:rPr>
        <w:t>SPS PDSCH</w:t>
      </w:r>
      <w:r w:rsidR="00832A5A">
        <w:rPr>
          <w:i/>
        </w:rPr>
        <w:t xml:space="preserve"> overlapping with</w:t>
      </w:r>
      <w:r w:rsidR="00832A5A" w:rsidRPr="00832A5A">
        <w:t xml:space="preserve"> </w:t>
      </w:r>
      <w:r w:rsidR="00832A5A" w:rsidRPr="00832A5A">
        <w:rPr>
          <w:i/>
        </w:rPr>
        <w:t>the SPS PDCCH release</w:t>
      </w:r>
      <w:r w:rsidRPr="002D4E32">
        <w:rPr>
          <w:i/>
        </w:rPr>
        <w:t>.</w:t>
      </w:r>
      <w:bookmarkEnd w:id="8"/>
      <w:bookmarkEnd w:id="9"/>
    </w:p>
    <w:bookmarkEnd w:id="2"/>
    <w:bookmarkEnd w:id="3"/>
    <w:p w14:paraId="7D4F4A9C" w14:textId="77777777" w:rsidR="00832A5A" w:rsidRDefault="00832A5A" w:rsidP="000C19F7">
      <w:pPr>
        <w:pStyle w:val="a0"/>
        <w:spacing w:before="120"/>
        <w:rPr>
          <w:rFonts w:eastAsiaTheme="minorEastAsia"/>
          <w:lang w:eastAsia="zh-CN"/>
        </w:rPr>
      </w:pPr>
    </w:p>
    <w:p w14:paraId="0E490BED" w14:textId="3EA63A29" w:rsidR="005D732C" w:rsidRPr="00EB5B71" w:rsidRDefault="007016F8" w:rsidP="005D732C">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Clarification on </w:t>
      </w:r>
      <w:r w:rsidRPr="007016F8">
        <w:rPr>
          <w:rFonts w:ascii="Arial" w:eastAsia="宋体" w:hAnsi="Arial" w:cs="Arial"/>
          <w:bCs/>
          <w:iCs/>
          <w:szCs w:val="28"/>
          <w:lang w:val="en-GB" w:eastAsia="zh-CN"/>
        </w:rPr>
        <w:t xml:space="preserve">beam switching timing delay </w:t>
      </w:r>
      <w:r w:rsidRPr="007016F8">
        <w:rPr>
          <w:rFonts w:ascii="Arial" w:eastAsia="宋体" w:hAnsi="Arial" w:cs="Arial"/>
          <w:bCs/>
          <w:i/>
          <w:iCs/>
          <w:szCs w:val="28"/>
          <w:lang w:val="en-GB" w:eastAsia="zh-CN"/>
        </w:rPr>
        <w:t>d</w:t>
      </w:r>
      <w:r>
        <w:rPr>
          <w:rFonts w:ascii="Arial" w:eastAsia="宋体" w:hAnsi="Arial" w:cs="Arial"/>
          <w:bCs/>
          <w:iCs/>
          <w:szCs w:val="28"/>
          <w:lang w:eastAsia="zh-CN"/>
        </w:rPr>
        <w:t xml:space="preserve"> </w:t>
      </w:r>
    </w:p>
    <w:p w14:paraId="7041632D" w14:textId="41CCBC62" w:rsidR="007016F8" w:rsidRDefault="004F13DB" w:rsidP="005D732C">
      <w:pPr>
        <w:pStyle w:val="a0"/>
        <w:spacing w:before="120"/>
        <w:rPr>
          <w:rFonts w:eastAsia="Batang"/>
          <w:szCs w:val="20"/>
          <w:lang w:eastAsia="x-none"/>
        </w:rPr>
      </w:pPr>
      <w:r>
        <w:rPr>
          <w:rFonts w:eastAsia="Batang"/>
          <w:szCs w:val="20"/>
          <w:lang w:eastAsia="x-none"/>
        </w:rPr>
        <w:t xml:space="preserve">The </w:t>
      </w:r>
      <w:r w:rsidRPr="004F13DB">
        <w:rPr>
          <w:rFonts w:eastAsia="Batang"/>
          <w:szCs w:val="20"/>
          <w:lang w:eastAsia="x-none"/>
        </w:rPr>
        <w:t>additional</w:t>
      </w:r>
      <w:r>
        <w:rPr>
          <w:rFonts w:eastAsia="Batang"/>
          <w:szCs w:val="20"/>
          <w:lang w:eastAsia="x-none"/>
        </w:rPr>
        <w:t xml:space="preserve"> beam switching</w:t>
      </w:r>
      <w:r w:rsidRPr="004F13DB">
        <w:rPr>
          <w:rFonts w:eastAsia="Batang"/>
          <w:szCs w:val="20"/>
          <w:lang w:eastAsia="x-none"/>
        </w:rPr>
        <w:t xml:space="preserve"> timing delay</w:t>
      </w:r>
      <w:r>
        <w:rPr>
          <w:rFonts w:eastAsia="Batang"/>
          <w:szCs w:val="20"/>
          <w:lang w:eastAsia="x-none"/>
        </w:rPr>
        <w:t xml:space="preserve"> d is applicable only if </w:t>
      </w:r>
      <w:r w:rsidRPr="007016F8">
        <w:rPr>
          <w:szCs w:val="20"/>
          <w:lang w:val="en-GB"/>
        </w:rPr>
        <w:t>µ</w:t>
      </w:r>
      <w:r w:rsidRPr="007016F8">
        <w:rPr>
          <w:szCs w:val="20"/>
          <w:vertAlign w:val="subscript"/>
          <w:lang w:val="en-GB"/>
        </w:rPr>
        <w:t>PDCCH</w:t>
      </w:r>
      <w:r w:rsidRPr="007016F8">
        <w:rPr>
          <w:szCs w:val="20"/>
          <w:lang w:val="en-GB"/>
        </w:rPr>
        <w:t xml:space="preserve"> &lt; µ</w:t>
      </w:r>
      <w:r w:rsidRPr="007016F8">
        <w:rPr>
          <w:szCs w:val="20"/>
          <w:vertAlign w:val="subscript"/>
          <w:lang w:val="en-GB"/>
        </w:rPr>
        <w:t>PDSCH</w:t>
      </w:r>
      <w:r>
        <w:rPr>
          <w:rFonts w:eastAsia="Batang"/>
          <w:szCs w:val="20"/>
          <w:lang w:eastAsia="x-none"/>
        </w:rPr>
        <w:t xml:space="preserve">, and should be zero otherwise. Such clarification has been captured in the latest TS 38.214 for aperiodic CSI-RS triggering, but is missing for PDSCH scheduling </w:t>
      </w:r>
      <w:r w:rsidR="00CC7130">
        <w:rPr>
          <w:rFonts w:eastAsia="Batang"/>
          <w:szCs w:val="20"/>
          <w:lang w:eastAsia="x-none"/>
        </w:rPr>
        <w:fldChar w:fldCharType="begin"/>
      </w:r>
      <w:r w:rsidR="00CC7130">
        <w:rPr>
          <w:rFonts w:eastAsia="Batang"/>
          <w:szCs w:val="20"/>
          <w:lang w:eastAsia="x-none"/>
        </w:rPr>
        <w:instrText xml:space="preserve"> REF _Ref32308097 \r \h </w:instrText>
      </w:r>
      <w:r w:rsidR="00CC7130">
        <w:rPr>
          <w:rFonts w:eastAsia="Batang"/>
          <w:szCs w:val="20"/>
          <w:lang w:eastAsia="x-none"/>
        </w:rPr>
      </w:r>
      <w:r w:rsidR="00CC7130">
        <w:rPr>
          <w:rFonts w:eastAsia="Batang"/>
          <w:szCs w:val="20"/>
          <w:lang w:eastAsia="x-none"/>
        </w:rPr>
        <w:fldChar w:fldCharType="separate"/>
      </w:r>
      <w:r w:rsidR="006F796F">
        <w:rPr>
          <w:rFonts w:eastAsia="Batang"/>
          <w:szCs w:val="20"/>
          <w:lang w:eastAsia="x-none"/>
        </w:rPr>
        <w:t>[2]</w:t>
      </w:r>
      <w:r w:rsidR="00CC7130">
        <w:rPr>
          <w:rFonts w:eastAsia="Batang"/>
          <w:szCs w:val="20"/>
          <w:lang w:eastAsia="x-none"/>
        </w:rPr>
        <w:fldChar w:fldCharType="end"/>
      </w:r>
      <w:r>
        <w:rPr>
          <w:rFonts w:eastAsia="Batang"/>
          <w:szCs w:val="20"/>
          <w:lang w:eastAsia="x-none"/>
        </w:rPr>
        <w:t>:</w:t>
      </w:r>
    </w:p>
    <w:tbl>
      <w:tblPr>
        <w:tblStyle w:val="a8"/>
        <w:tblW w:w="0" w:type="auto"/>
        <w:tblLook w:val="04A0" w:firstRow="1" w:lastRow="0" w:firstColumn="1" w:lastColumn="0" w:noHBand="0" w:noVBand="1"/>
      </w:tblPr>
      <w:tblGrid>
        <w:gridCol w:w="9019"/>
      </w:tblGrid>
      <w:tr w:rsidR="007016F8" w14:paraId="79863E5C" w14:textId="77777777" w:rsidTr="007016F8">
        <w:tc>
          <w:tcPr>
            <w:tcW w:w="9019" w:type="dxa"/>
          </w:tcPr>
          <w:p w14:paraId="6C0BEED7" w14:textId="77777777" w:rsidR="007016F8" w:rsidRPr="007016F8" w:rsidRDefault="007016F8" w:rsidP="007016F8">
            <w:pPr>
              <w:spacing w:after="180"/>
              <w:rPr>
                <w:color w:val="000000"/>
                <w:sz w:val="20"/>
                <w:szCs w:val="20"/>
                <w:lang w:val="en-GB"/>
              </w:rPr>
            </w:pPr>
            <w:r w:rsidRPr="007016F8">
              <w:rPr>
                <w:color w:val="000000"/>
                <w:sz w:val="20"/>
                <w:szCs w:val="20"/>
                <w:lang w:val="en-GB"/>
              </w:rPr>
              <w:t>If the PDCCH carrying the scheduling DCI is received on one component carrier, and the PDSCH scheduled by that DCI is on another component carrier and the UE is configured with [</w:t>
            </w:r>
            <w:proofErr w:type="spellStart"/>
            <w:r w:rsidRPr="007016F8">
              <w:rPr>
                <w:i/>
                <w:color w:val="000000"/>
                <w:sz w:val="20"/>
                <w:szCs w:val="20"/>
                <w:lang w:val="en-GB"/>
              </w:rPr>
              <w:t>enabledDefaultBeamForCCS</w:t>
            </w:r>
            <w:proofErr w:type="spellEnd"/>
            <w:r w:rsidRPr="007016F8">
              <w:rPr>
                <w:color w:val="000000"/>
                <w:sz w:val="20"/>
                <w:szCs w:val="20"/>
                <w:lang w:val="en-GB"/>
              </w:rPr>
              <w:t>]:</w:t>
            </w:r>
          </w:p>
          <w:p w14:paraId="20D6A8EA" w14:textId="77777777" w:rsidR="007016F8" w:rsidRPr="007016F8" w:rsidRDefault="007016F8" w:rsidP="007016F8">
            <w:pPr>
              <w:spacing w:after="180"/>
              <w:ind w:left="568" w:hanging="284"/>
              <w:rPr>
                <w:sz w:val="20"/>
                <w:szCs w:val="20"/>
                <w:lang w:val="en-GB"/>
              </w:rPr>
            </w:pPr>
            <w:r w:rsidRPr="007016F8">
              <w:rPr>
                <w:sz w:val="20"/>
                <w:szCs w:val="20"/>
                <w:lang w:val="en-GB"/>
              </w:rPr>
              <w:t>-</w:t>
            </w:r>
            <w:r w:rsidRPr="007016F8">
              <w:rPr>
                <w:sz w:val="20"/>
                <w:szCs w:val="20"/>
                <w:lang w:val="en-GB"/>
              </w:rPr>
              <w:tab/>
              <w:t xml:space="preserve">The </w:t>
            </w:r>
            <w:proofErr w:type="spellStart"/>
            <w:r w:rsidRPr="007016F8">
              <w:rPr>
                <w:i/>
                <w:sz w:val="20"/>
                <w:szCs w:val="20"/>
                <w:lang w:val="en-GB"/>
              </w:rPr>
              <w:t>timeDurationForQCL</w:t>
            </w:r>
            <w:proofErr w:type="spellEnd"/>
            <w:r w:rsidRPr="007016F8">
              <w:rPr>
                <w:sz w:val="20"/>
                <w:szCs w:val="20"/>
                <w:lang w:val="en-GB"/>
              </w:rPr>
              <w:t xml:space="preserve"> is determined based on the subcarrier spacing of the scheduled PDSC</w:t>
            </w:r>
            <w:r w:rsidRPr="007016F8">
              <w:rPr>
                <w:sz w:val="20"/>
                <w:szCs w:val="20"/>
              </w:rPr>
              <w:t>H</w:t>
            </w:r>
            <w:r w:rsidRPr="007016F8">
              <w:rPr>
                <w:sz w:val="20"/>
                <w:szCs w:val="20"/>
                <w:lang w:val="en-GB"/>
              </w:rPr>
              <w:t>. If µ</w:t>
            </w:r>
            <w:r w:rsidRPr="007016F8">
              <w:rPr>
                <w:sz w:val="20"/>
                <w:szCs w:val="20"/>
                <w:vertAlign w:val="subscript"/>
                <w:lang w:val="en-GB"/>
              </w:rPr>
              <w:t>PDCCH</w:t>
            </w:r>
            <w:r w:rsidRPr="007016F8">
              <w:rPr>
                <w:sz w:val="20"/>
                <w:szCs w:val="20"/>
                <w:lang w:val="en-GB"/>
              </w:rPr>
              <w:t xml:space="preserve"> &lt; µ</w:t>
            </w:r>
            <w:r w:rsidRPr="007016F8">
              <w:rPr>
                <w:sz w:val="20"/>
                <w:szCs w:val="20"/>
                <w:vertAlign w:val="subscript"/>
                <w:lang w:val="en-GB"/>
              </w:rPr>
              <w:t>PDSCH</w:t>
            </w:r>
            <w:r w:rsidRPr="007016F8">
              <w:rPr>
                <w:sz w:val="20"/>
                <w:szCs w:val="20"/>
                <w:lang w:val="en-GB"/>
              </w:rPr>
              <w:t xml:space="preserve"> an additional timing delay </w:t>
            </w:r>
            <m:oMath>
              <m:r>
                <w:rPr>
                  <w:rFonts w:ascii="Cambria Math" w:hAnsi="Cambria Math"/>
                  <w:sz w:val="20"/>
                  <w:szCs w:val="20"/>
                  <w:lang w:val="en-GB"/>
                </w:rPr>
                <m:t>d</m:t>
              </m:r>
              <m:f>
                <m:fPr>
                  <m:ctrlPr>
                    <w:rPr>
                      <w:rFonts w:ascii="Cambria Math" w:hAnsi="Cambria Math"/>
                      <w:i/>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PDSCH</m:t>
                          </m:r>
                        </m:sub>
                      </m:sSub>
                    </m:sup>
                  </m:sSup>
                </m:num>
                <m:den>
                  <m:sSup>
                    <m:sSupPr>
                      <m:ctrlPr>
                        <w:rPr>
                          <w:rFonts w:ascii="Cambria Math" w:hAnsi="Cambria Math"/>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den>
              </m:f>
            </m:oMath>
            <w:r w:rsidRPr="007016F8">
              <w:rPr>
                <w:sz w:val="20"/>
                <w:szCs w:val="20"/>
                <w:lang w:val="en-GB"/>
              </w:rPr>
              <w:t xml:space="preserve">is added to the </w:t>
            </w:r>
            <w:proofErr w:type="spellStart"/>
            <w:r w:rsidRPr="007016F8">
              <w:rPr>
                <w:i/>
                <w:sz w:val="20"/>
                <w:szCs w:val="20"/>
                <w:lang w:val="en-GB"/>
              </w:rPr>
              <w:t>timeDurationForQCL</w:t>
            </w:r>
            <w:proofErr w:type="spellEnd"/>
            <w:r w:rsidRPr="007016F8">
              <w:rPr>
                <w:sz w:val="20"/>
                <w:szCs w:val="20"/>
                <w:lang w:val="en-GB"/>
              </w:rPr>
              <w:t xml:space="preserve">, where </w:t>
            </w:r>
            <w:r w:rsidRPr="007016F8">
              <w:rPr>
                <w:i/>
                <w:sz w:val="20"/>
                <w:szCs w:val="20"/>
                <w:lang w:val="en-GB"/>
              </w:rPr>
              <w:t>d</w:t>
            </w:r>
            <w:r w:rsidRPr="007016F8">
              <w:rPr>
                <w:sz w:val="20"/>
                <w:szCs w:val="20"/>
                <w:lang w:val="en-GB"/>
              </w:rPr>
              <w:t xml:space="preserve"> is defined in </w:t>
            </w:r>
            <w:r w:rsidRPr="007016F8">
              <w:rPr>
                <w:color w:val="000000"/>
                <w:sz w:val="20"/>
                <w:szCs w:val="20"/>
                <w:lang w:val="en-GB"/>
              </w:rPr>
              <w:t>5.2.1.5.1a-1</w:t>
            </w:r>
            <w:r w:rsidRPr="007016F8">
              <w:rPr>
                <w:sz w:val="20"/>
                <w:szCs w:val="20"/>
                <w:lang w:val="en-GB"/>
              </w:rPr>
              <w:t>;</w:t>
            </w:r>
          </w:p>
          <w:p w14:paraId="661AE7C1" w14:textId="77777777" w:rsidR="007016F8" w:rsidRPr="007016F8" w:rsidRDefault="007016F8" w:rsidP="007016F8">
            <w:pPr>
              <w:spacing w:after="180"/>
              <w:ind w:left="568" w:hanging="284"/>
              <w:rPr>
                <w:sz w:val="20"/>
                <w:szCs w:val="20"/>
                <w:lang w:val="en-GB"/>
              </w:rPr>
            </w:pPr>
            <w:r w:rsidRPr="007016F8">
              <w:rPr>
                <w:sz w:val="20"/>
                <w:szCs w:val="20"/>
                <w:lang w:val="en-GB"/>
              </w:rPr>
              <w:t>-</w:t>
            </w:r>
            <w:r w:rsidRPr="007016F8">
              <w:rPr>
                <w:sz w:val="20"/>
                <w:szCs w:val="20"/>
                <w:lang w:val="en-GB"/>
              </w:rPr>
              <w:tab/>
            </w:r>
            <w:r w:rsidRPr="007016F8">
              <w:rPr>
                <w:color w:val="000000"/>
                <w:sz w:val="20"/>
                <w:szCs w:val="20"/>
                <w:lang w:val="en-GB"/>
              </w:rPr>
              <w:t xml:space="preserve">For both the cases, when the offset between the reception of the DL DCI and the corresponding PDSCH is less than the threshold </w:t>
            </w:r>
            <w:proofErr w:type="spellStart"/>
            <w:r w:rsidRPr="007016F8">
              <w:rPr>
                <w:i/>
                <w:color w:val="000000"/>
                <w:sz w:val="20"/>
                <w:szCs w:val="20"/>
                <w:lang w:val="en-GB"/>
              </w:rPr>
              <w:t>timeDurationForQCL</w:t>
            </w:r>
            <w:proofErr w:type="spellEnd"/>
            <w:r w:rsidRPr="007016F8">
              <w:rPr>
                <w:i/>
                <w:color w:val="000000"/>
                <w:sz w:val="20"/>
                <w:szCs w:val="20"/>
                <w:lang w:val="en-GB"/>
              </w:rPr>
              <w:t>,</w:t>
            </w:r>
            <w:r w:rsidRPr="007016F8">
              <w:rPr>
                <w:color w:val="000000"/>
                <w:sz w:val="20"/>
                <w:szCs w:val="20"/>
                <w:lang w:val="en-GB"/>
              </w:rPr>
              <w:t xml:space="preserve"> and when the DL DCI does not have the TCI field present, the UE obtains its QCL assumption for the scheduled PDSCH from the activated TCI state with the lowest ID applicable to PDSCH in the active BWP of the scheduled cell.</w:t>
            </w:r>
          </w:p>
          <w:p w14:paraId="320B609D" w14:textId="77777777" w:rsidR="007016F8" w:rsidRDefault="007016F8" w:rsidP="005D732C">
            <w:pPr>
              <w:pStyle w:val="a0"/>
              <w:spacing w:before="120"/>
              <w:rPr>
                <w:rFonts w:eastAsia="Batang"/>
                <w:szCs w:val="20"/>
                <w:lang w:eastAsia="x-none"/>
              </w:rPr>
            </w:pPr>
          </w:p>
        </w:tc>
      </w:tr>
    </w:tbl>
    <w:p w14:paraId="76062883" w14:textId="11D2480E" w:rsidR="007016F8" w:rsidRDefault="00CC7130" w:rsidP="007016F8">
      <w:pPr>
        <w:pStyle w:val="a0"/>
        <w:spacing w:before="120"/>
        <w:rPr>
          <w:rFonts w:eastAsia="Batang"/>
          <w:szCs w:val="20"/>
          <w:lang w:eastAsia="x-none"/>
        </w:rPr>
      </w:pPr>
      <w:r>
        <w:rPr>
          <w:rFonts w:eastAsia="Batang"/>
          <w:szCs w:val="20"/>
          <w:lang w:eastAsia="x-none"/>
        </w:rPr>
        <w:t xml:space="preserve">A simple TP similar as that for aperiodic CSI-RS triggering can be accepted. Moreover, there seems to be a typo on the higher layer parameter name for </w:t>
      </w:r>
      <w:proofErr w:type="spellStart"/>
      <w:r w:rsidRPr="00CC7130">
        <w:rPr>
          <w:rFonts w:eastAsia="Batang"/>
          <w:i/>
          <w:szCs w:val="20"/>
          <w:lang w:eastAsia="x-none"/>
        </w:rPr>
        <w:t>enableDefaultBeamForCSS</w:t>
      </w:r>
      <w:proofErr w:type="spellEnd"/>
      <w:r>
        <w:rPr>
          <w:rFonts w:eastAsia="Batang" w:cs="Times"/>
          <w:szCs w:val="20"/>
          <w:lang w:val="en-GB" w:eastAsia="x-none"/>
        </w:rPr>
        <w:t>, which is also included in the below TP for alignment.</w:t>
      </w:r>
    </w:p>
    <w:tbl>
      <w:tblPr>
        <w:tblStyle w:val="a8"/>
        <w:tblW w:w="0" w:type="auto"/>
        <w:tblLook w:val="04A0" w:firstRow="1" w:lastRow="0" w:firstColumn="1" w:lastColumn="0" w:noHBand="0" w:noVBand="1"/>
      </w:tblPr>
      <w:tblGrid>
        <w:gridCol w:w="9019"/>
      </w:tblGrid>
      <w:tr w:rsidR="007016F8" w14:paraId="7A47E18E" w14:textId="77777777" w:rsidTr="005D0BFE">
        <w:tc>
          <w:tcPr>
            <w:tcW w:w="9019" w:type="dxa"/>
          </w:tcPr>
          <w:p w14:paraId="68E1479D" w14:textId="5934D8E5" w:rsidR="007016F8" w:rsidRPr="007016F8" w:rsidRDefault="007016F8" w:rsidP="005D0BFE">
            <w:pPr>
              <w:spacing w:after="180"/>
              <w:rPr>
                <w:color w:val="000000"/>
                <w:sz w:val="20"/>
                <w:szCs w:val="20"/>
                <w:lang w:val="en-GB"/>
              </w:rPr>
            </w:pPr>
            <w:r w:rsidRPr="007016F8">
              <w:rPr>
                <w:color w:val="000000"/>
                <w:sz w:val="20"/>
                <w:szCs w:val="20"/>
                <w:lang w:val="en-GB"/>
              </w:rPr>
              <w:t>If the PDCCH carrying the scheduling DCI is received on one component carrier, and the PDSCH scheduled by that DCI is on another component carrier and the UE is configured with [</w:t>
            </w:r>
            <w:proofErr w:type="spellStart"/>
            <w:r w:rsidRPr="007016F8">
              <w:rPr>
                <w:i/>
                <w:strike/>
                <w:color w:val="FF0000"/>
                <w:sz w:val="20"/>
                <w:szCs w:val="20"/>
                <w:u w:val="single"/>
                <w:lang w:val="en-GB"/>
              </w:rPr>
              <w:t>enabledDefaultBeamForCCS</w:t>
            </w:r>
            <w:proofErr w:type="spellEnd"/>
            <w:r w:rsidR="005673ED" w:rsidRPr="005673ED">
              <w:rPr>
                <w:i/>
                <w:color w:val="FF0000"/>
                <w:sz w:val="20"/>
                <w:szCs w:val="20"/>
                <w:u w:val="single"/>
                <w:lang w:val="en-GB"/>
              </w:rPr>
              <w:t xml:space="preserve"> </w:t>
            </w:r>
            <w:proofErr w:type="spellStart"/>
            <w:r w:rsidR="005673ED" w:rsidRPr="007016F8">
              <w:rPr>
                <w:i/>
                <w:color w:val="FF0000"/>
                <w:sz w:val="20"/>
                <w:szCs w:val="20"/>
                <w:u w:val="single"/>
                <w:lang w:val="en-GB"/>
              </w:rPr>
              <w:t>enableDefaultBeamForCSS</w:t>
            </w:r>
            <w:proofErr w:type="spellEnd"/>
            <w:r w:rsidRPr="007016F8">
              <w:rPr>
                <w:color w:val="000000"/>
                <w:sz w:val="20"/>
                <w:szCs w:val="20"/>
                <w:lang w:val="en-GB"/>
              </w:rPr>
              <w:t>]:</w:t>
            </w:r>
          </w:p>
          <w:p w14:paraId="25853B9C" w14:textId="5100D6FD" w:rsidR="007016F8" w:rsidRPr="007016F8" w:rsidRDefault="007016F8" w:rsidP="005D0BFE">
            <w:pPr>
              <w:spacing w:after="180"/>
              <w:ind w:left="568" w:hanging="284"/>
              <w:rPr>
                <w:sz w:val="20"/>
                <w:szCs w:val="20"/>
                <w:lang w:val="en-GB"/>
              </w:rPr>
            </w:pPr>
            <w:r w:rsidRPr="007016F8">
              <w:rPr>
                <w:sz w:val="20"/>
                <w:szCs w:val="20"/>
                <w:lang w:val="en-GB"/>
              </w:rPr>
              <w:t>-</w:t>
            </w:r>
            <w:r w:rsidRPr="007016F8">
              <w:rPr>
                <w:sz w:val="20"/>
                <w:szCs w:val="20"/>
                <w:lang w:val="en-GB"/>
              </w:rPr>
              <w:tab/>
              <w:t xml:space="preserve">The </w:t>
            </w:r>
            <w:proofErr w:type="spellStart"/>
            <w:r w:rsidRPr="007016F8">
              <w:rPr>
                <w:i/>
                <w:sz w:val="20"/>
                <w:szCs w:val="20"/>
                <w:lang w:val="en-GB"/>
              </w:rPr>
              <w:t>timeDurationForQCL</w:t>
            </w:r>
            <w:proofErr w:type="spellEnd"/>
            <w:r w:rsidRPr="007016F8">
              <w:rPr>
                <w:sz w:val="20"/>
                <w:szCs w:val="20"/>
                <w:lang w:val="en-GB"/>
              </w:rPr>
              <w:t xml:space="preserve"> is determined based on the subcarrier spacing of the scheduled PDSC</w:t>
            </w:r>
            <w:r w:rsidRPr="007016F8">
              <w:rPr>
                <w:sz w:val="20"/>
                <w:szCs w:val="20"/>
              </w:rPr>
              <w:t>H</w:t>
            </w:r>
            <w:r w:rsidRPr="007016F8">
              <w:rPr>
                <w:sz w:val="20"/>
                <w:szCs w:val="20"/>
                <w:lang w:val="en-GB"/>
              </w:rPr>
              <w:t>. If µ</w:t>
            </w:r>
            <w:r w:rsidRPr="007016F8">
              <w:rPr>
                <w:sz w:val="20"/>
                <w:szCs w:val="20"/>
                <w:vertAlign w:val="subscript"/>
                <w:lang w:val="en-GB"/>
              </w:rPr>
              <w:t>PDCCH</w:t>
            </w:r>
            <w:r w:rsidRPr="007016F8">
              <w:rPr>
                <w:sz w:val="20"/>
                <w:szCs w:val="20"/>
                <w:lang w:val="en-GB"/>
              </w:rPr>
              <w:t xml:space="preserve"> &lt; µ</w:t>
            </w:r>
            <w:r w:rsidRPr="007016F8">
              <w:rPr>
                <w:sz w:val="20"/>
                <w:szCs w:val="20"/>
                <w:vertAlign w:val="subscript"/>
                <w:lang w:val="en-GB"/>
              </w:rPr>
              <w:t>PDSCH</w:t>
            </w:r>
            <w:r w:rsidRPr="007016F8">
              <w:rPr>
                <w:sz w:val="20"/>
                <w:szCs w:val="20"/>
                <w:lang w:val="en-GB"/>
              </w:rPr>
              <w:t xml:space="preserve"> an additional timing delay </w:t>
            </w:r>
            <m:oMath>
              <m:r>
                <w:rPr>
                  <w:rFonts w:ascii="Cambria Math" w:hAnsi="Cambria Math"/>
                  <w:sz w:val="20"/>
                  <w:szCs w:val="20"/>
                  <w:lang w:val="en-GB"/>
                </w:rPr>
                <m:t>d</m:t>
              </m:r>
              <m:f>
                <m:fPr>
                  <m:ctrlPr>
                    <w:rPr>
                      <w:rFonts w:ascii="Cambria Math" w:hAnsi="Cambria Math"/>
                      <w:i/>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PDSCH</m:t>
                          </m:r>
                        </m:sub>
                      </m:sSub>
                    </m:sup>
                  </m:sSup>
                </m:num>
                <m:den>
                  <m:sSup>
                    <m:sSupPr>
                      <m:ctrlPr>
                        <w:rPr>
                          <w:rFonts w:ascii="Cambria Math" w:hAnsi="Cambria Math"/>
                          <w:sz w:val="20"/>
                          <w:szCs w:val="20"/>
                          <w:lang w:val="en-GB"/>
                        </w:rPr>
                      </m:ctrlPr>
                    </m:sSupPr>
                    <m:e>
                      <m:r>
                        <w:rPr>
                          <w:rFonts w:ascii="Cambria Math" w:hAnsi="Cambria Math"/>
                          <w:sz w:val="20"/>
                          <w:szCs w:val="20"/>
                          <w:lang w:val="en-GB"/>
                        </w:rPr>
                        <m:t>2</m:t>
                      </m:r>
                    </m:e>
                    <m:sup>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den>
              </m:f>
            </m:oMath>
            <w:r w:rsidRPr="007016F8">
              <w:rPr>
                <w:sz w:val="20"/>
                <w:szCs w:val="20"/>
                <w:lang w:val="en-GB"/>
              </w:rPr>
              <w:t xml:space="preserve">is added to the </w:t>
            </w:r>
            <w:proofErr w:type="spellStart"/>
            <w:r w:rsidRPr="007016F8">
              <w:rPr>
                <w:i/>
                <w:sz w:val="20"/>
                <w:szCs w:val="20"/>
                <w:lang w:val="en-GB"/>
              </w:rPr>
              <w:t>timeDurationForQCL</w:t>
            </w:r>
            <w:proofErr w:type="spellEnd"/>
            <w:r w:rsidRPr="007016F8">
              <w:rPr>
                <w:sz w:val="20"/>
                <w:szCs w:val="20"/>
                <w:lang w:val="en-GB"/>
              </w:rPr>
              <w:t xml:space="preserve">, where </w:t>
            </w:r>
            <w:r w:rsidRPr="007016F8">
              <w:rPr>
                <w:i/>
                <w:sz w:val="20"/>
                <w:szCs w:val="20"/>
                <w:lang w:val="en-GB"/>
              </w:rPr>
              <w:t>d</w:t>
            </w:r>
            <w:r w:rsidRPr="007016F8">
              <w:rPr>
                <w:sz w:val="20"/>
                <w:szCs w:val="20"/>
                <w:lang w:val="en-GB"/>
              </w:rPr>
              <w:t xml:space="preserve"> is defined in </w:t>
            </w:r>
            <w:r w:rsidRPr="007016F8">
              <w:rPr>
                <w:color w:val="000000"/>
                <w:sz w:val="20"/>
                <w:szCs w:val="20"/>
                <w:lang w:val="en-GB"/>
              </w:rPr>
              <w:t>5.2.1.5.1a-1</w:t>
            </w:r>
            <w:r w:rsidRPr="007016F8">
              <w:rPr>
                <w:color w:val="FF0000"/>
                <w:sz w:val="20"/>
                <w:szCs w:val="20"/>
                <w:u w:val="single"/>
                <w:lang w:val="en-GB"/>
              </w:rPr>
              <w:t xml:space="preserve">, otherwise </w:t>
            </w:r>
            <w:r w:rsidRPr="007016F8">
              <w:rPr>
                <w:i/>
                <w:color w:val="FF0000"/>
                <w:sz w:val="20"/>
                <w:szCs w:val="20"/>
                <w:u w:val="single"/>
                <w:lang w:val="en-GB"/>
              </w:rPr>
              <w:t>d</w:t>
            </w:r>
            <w:r w:rsidRPr="007016F8">
              <w:rPr>
                <w:color w:val="FF0000"/>
                <w:sz w:val="20"/>
                <w:szCs w:val="20"/>
                <w:u w:val="single"/>
                <w:lang w:val="en-GB"/>
              </w:rPr>
              <w:t xml:space="preserve"> is zero</w:t>
            </w:r>
            <w:r w:rsidRPr="007016F8">
              <w:rPr>
                <w:sz w:val="20"/>
                <w:szCs w:val="20"/>
                <w:lang w:val="en-GB"/>
              </w:rPr>
              <w:t>;</w:t>
            </w:r>
          </w:p>
          <w:p w14:paraId="034CA6E4" w14:textId="77777777" w:rsidR="007016F8" w:rsidRPr="007016F8" w:rsidRDefault="007016F8" w:rsidP="005D0BFE">
            <w:pPr>
              <w:spacing w:after="180"/>
              <w:ind w:left="568" w:hanging="284"/>
              <w:rPr>
                <w:sz w:val="20"/>
                <w:szCs w:val="20"/>
                <w:lang w:val="en-GB"/>
              </w:rPr>
            </w:pPr>
            <w:r w:rsidRPr="007016F8">
              <w:rPr>
                <w:sz w:val="20"/>
                <w:szCs w:val="20"/>
                <w:lang w:val="en-GB"/>
              </w:rPr>
              <w:t>-</w:t>
            </w:r>
            <w:r w:rsidRPr="007016F8">
              <w:rPr>
                <w:sz w:val="20"/>
                <w:szCs w:val="20"/>
                <w:lang w:val="en-GB"/>
              </w:rPr>
              <w:tab/>
            </w:r>
            <w:r w:rsidRPr="007016F8">
              <w:rPr>
                <w:color w:val="000000"/>
                <w:sz w:val="20"/>
                <w:szCs w:val="20"/>
                <w:lang w:val="en-GB"/>
              </w:rPr>
              <w:t xml:space="preserve">For both the cases, when the offset between the reception of the DL DCI and the corresponding PDSCH is less than the threshold </w:t>
            </w:r>
            <w:proofErr w:type="spellStart"/>
            <w:r w:rsidRPr="007016F8">
              <w:rPr>
                <w:i/>
                <w:color w:val="000000"/>
                <w:sz w:val="20"/>
                <w:szCs w:val="20"/>
                <w:lang w:val="en-GB"/>
              </w:rPr>
              <w:t>timeDurationForQCL</w:t>
            </w:r>
            <w:proofErr w:type="spellEnd"/>
            <w:r w:rsidRPr="007016F8">
              <w:rPr>
                <w:i/>
                <w:color w:val="000000"/>
                <w:sz w:val="20"/>
                <w:szCs w:val="20"/>
                <w:lang w:val="en-GB"/>
              </w:rPr>
              <w:t>,</w:t>
            </w:r>
            <w:r w:rsidRPr="007016F8">
              <w:rPr>
                <w:color w:val="000000"/>
                <w:sz w:val="20"/>
                <w:szCs w:val="20"/>
                <w:lang w:val="en-GB"/>
              </w:rPr>
              <w:t xml:space="preserve"> and when the DL DCI does not have the TCI field present, the UE obtains its QCL assumption for the scheduled PDSCH from the activated TCI state with the lowest ID applicable to PDSCH in the active BWP of the scheduled cell.</w:t>
            </w:r>
          </w:p>
          <w:p w14:paraId="2EAB3CCA" w14:textId="77777777" w:rsidR="007016F8" w:rsidRDefault="007016F8" w:rsidP="005D0BFE">
            <w:pPr>
              <w:pStyle w:val="a0"/>
              <w:spacing w:before="120"/>
              <w:rPr>
                <w:rFonts w:eastAsia="Batang"/>
                <w:szCs w:val="20"/>
                <w:lang w:eastAsia="x-none"/>
              </w:rPr>
            </w:pPr>
          </w:p>
        </w:tc>
      </w:tr>
    </w:tbl>
    <w:p w14:paraId="2796DF14" w14:textId="73CEDE5E" w:rsidR="00913AEA" w:rsidRPr="002D4E32" w:rsidRDefault="00913AEA" w:rsidP="00913AEA">
      <w:pPr>
        <w:pStyle w:val="a5"/>
        <w:jc w:val="both"/>
        <w:rPr>
          <w:rFonts w:eastAsia="Batang"/>
          <w:lang w:eastAsia="x-none"/>
        </w:rPr>
      </w:pPr>
      <w:bookmarkStart w:id="10" w:name="_Ref323079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F796F">
        <w:rPr>
          <w:i/>
          <w:noProof/>
          <w:u w:val="single"/>
        </w:rPr>
        <w:t>4</w:t>
      </w:r>
      <w:r w:rsidRPr="002D4E32">
        <w:rPr>
          <w:i/>
          <w:u w:val="single"/>
        </w:rPr>
        <w:fldChar w:fldCharType="end"/>
      </w:r>
      <w:r w:rsidRPr="002D4E32">
        <w:rPr>
          <w:i/>
        </w:rPr>
        <w:t>:</w:t>
      </w:r>
      <w:r w:rsidRPr="002D4E32">
        <w:t xml:space="preserve"> </w:t>
      </w:r>
      <w:r>
        <w:rPr>
          <w:i/>
        </w:rPr>
        <w:t xml:space="preserve">Accept the proposed TP to clarify the additional timing delay </w:t>
      </w:r>
      <w:r w:rsidR="00397C7F">
        <w:rPr>
          <w:i/>
        </w:rPr>
        <w:t xml:space="preserve">d </w:t>
      </w:r>
      <w:r>
        <w:rPr>
          <w:i/>
        </w:rPr>
        <w:t>for cross carrier scheduling</w:t>
      </w:r>
      <w:r w:rsidRPr="002D4E32">
        <w:rPr>
          <w:i/>
        </w:rPr>
        <w:t>.</w:t>
      </w:r>
      <w:bookmarkEnd w:id="10"/>
    </w:p>
    <w:p w14:paraId="4738AE6B" w14:textId="77777777" w:rsidR="005D732C" w:rsidRPr="002D4E32" w:rsidRDefault="005D732C"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073C719E"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 xml:space="preserve">on the coexistence issues </w:t>
      </w:r>
      <w:r w:rsidR="00417958" w:rsidRPr="004A2DEB">
        <w:rPr>
          <w:rFonts w:cs="Arial"/>
        </w:rPr>
        <w:t>cross-carrier scheduling with mix numerologies</w:t>
      </w:r>
      <w:r w:rsidR="00417958" w:rsidRPr="002D4E32">
        <w:rPr>
          <w:rFonts w:eastAsiaTheme="minorEastAsia"/>
          <w:lang w:eastAsia="zh-CN"/>
        </w:rPr>
        <w:t xml:space="preserve"> </w:t>
      </w:r>
      <w:r w:rsidR="00524961" w:rsidRPr="002D4E32">
        <w:rPr>
          <w:rFonts w:eastAsiaTheme="minorEastAsia"/>
          <w:lang w:eastAsia="zh-CN"/>
        </w:rPr>
        <w:t>with the following proposals:</w:t>
      </w:r>
    </w:p>
    <w:p w14:paraId="42DF59AE" w14:textId="4D3D4586" w:rsidR="00B948E6" w:rsidRPr="00B948E6" w:rsidRDefault="00B948E6" w:rsidP="000C19F7">
      <w:pPr>
        <w:pStyle w:val="a0"/>
        <w:spacing w:before="120"/>
        <w:rPr>
          <w:rFonts w:eastAsiaTheme="minorEastAsia"/>
          <w:b/>
          <w:lang w:eastAsia="zh-CN"/>
        </w:rPr>
      </w:pPr>
      <w:r w:rsidRPr="00B948E6">
        <w:rPr>
          <w:rFonts w:eastAsiaTheme="minorEastAsia"/>
          <w:b/>
          <w:lang w:eastAsia="zh-CN"/>
        </w:rPr>
        <w:fldChar w:fldCharType="begin"/>
      </w:r>
      <w:r w:rsidRPr="00B948E6">
        <w:rPr>
          <w:rFonts w:eastAsiaTheme="minorEastAsia"/>
          <w:b/>
          <w:lang w:eastAsia="zh-CN"/>
        </w:rPr>
        <w:instrText xml:space="preserve"> REF _Ref37170876 \h </w:instrText>
      </w:r>
      <w:r>
        <w:rPr>
          <w:rFonts w:eastAsiaTheme="minorEastAsia"/>
          <w:b/>
          <w:lang w:eastAsia="zh-CN"/>
        </w:rPr>
        <w:instrText xml:space="preserve"> \* MERGEFORMAT </w:instrText>
      </w:r>
      <w:r w:rsidRPr="00B948E6">
        <w:rPr>
          <w:rFonts w:eastAsiaTheme="minorEastAsia"/>
          <w:b/>
          <w:lang w:eastAsia="zh-CN"/>
        </w:rPr>
      </w:r>
      <w:r w:rsidRPr="00B948E6">
        <w:rPr>
          <w:rFonts w:eastAsiaTheme="minorEastAsia"/>
          <w:b/>
          <w:lang w:eastAsia="zh-CN"/>
        </w:rPr>
        <w:fldChar w:fldCharType="separate"/>
      </w:r>
      <w:r w:rsidR="006F796F" w:rsidRPr="006F796F">
        <w:rPr>
          <w:b/>
          <w:i/>
          <w:u w:val="single"/>
        </w:rPr>
        <w:t xml:space="preserve">Proposal </w:t>
      </w:r>
      <w:r w:rsidR="006F796F" w:rsidRPr="006F796F">
        <w:rPr>
          <w:b/>
          <w:i/>
          <w:noProof/>
          <w:u w:val="single"/>
        </w:rPr>
        <w:t>1</w:t>
      </w:r>
      <w:r w:rsidR="006F796F" w:rsidRPr="006F796F">
        <w:rPr>
          <w:b/>
          <w:i/>
        </w:rPr>
        <w:t>:</w:t>
      </w:r>
      <w:r w:rsidR="006F796F" w:rsidRPr="006F796F">
        <w:rPr>
          <w:b/>
        </w:rPr>
        <w:t xml:space="preserve"> </w:t>
      </w:r>
      <w:r w:rsidR="006F796F" w:rsidRPr="006F796F">
        <w:rPr>
          <w:b/>
          <w:i/>
        </w:rPr>
        <w:t xml:space="preserve">In the case of SPS PDSCH and the corresponding PDCCH release are in different carriers with same SCS, the behavior of SPS release in single carrier case is reuse. Specifically, the HARQ-ACK resource is determined based on the last PUCCH slot overlapping with the SPS PDCCH release, while the bit location of the SPS release in type-1 codebook is determined by the SLIV of the SPS </w:t>
      </w:r>
      <w:r w:rsidR="006F796F" w:rsidRPr="005345DD">
        <w:rPr>
          <w:i/>
        </w:rPr>
        <w:t>PDSCH</w:t>
      </w:r>
      <w:r w:rsidR="006F796F" w:rsidRPr="002D4E32">
        <w:rPr>
          <w:i/>
        </w:rPr>
        <w:t>.</w:t>
      </w:r>
      <w:r w:rsidRPr="00B948E6">
        <w:rPr>
          <w:rFonts w:eastAsiaTheme="minorEastAsia"/>
          <w:b/>
          <w:lang w:eastAsia="zh-CN"/>
        </w:rPr>
        <w:fldChar w:fldCharType="end"/>
      </w:r>
    </w:p>
    <w:p w14:paraId="0B140E2D" w14:textId="42A0F9D3" w:rsidR="00B948E6" w:rsidRPr="00B948E6" w:rsidRDefault="00B948E6" w:rsidP="000C19F7">
      <w:pPr>
        <w:pStyle w:val="a0"/>
        <w:spacing w:before="120"/>
        <w:rPr>
          <w:rFonts w:eastAsiaTheme="minorEastAsia"/>
          <w:b/>
          <w:lang w:eastAsia="zh-CN"/>
        </w:rPr>
      </w:pPr>
      <w:r w:rsidRPr="00B948E6">
        <w:rPr>
          <w:rFonts w:eastAsiaTheme="minorEastAsia"/>
          <w:b/>
          <w:lang w:eastAsia="zh-CN"/>
        </w:rPr>
        <w:fldChar w:fldCharType="begin"/>
      </w:r>
      <w:r w:rsidRPr="00B948E6">
        <w:rPr>
          <w:rFonts w:eastAsiaTheme="minorEastAsia"/>
          <w:b/>
          <w:lang w:eastAsia="zh-CN"/>
        </w:rPr>
        <w:instrText xml:space="preserve"> REF _Ref37170879 \h </w:instrText>
      </w:r>
      <w:r>
        <w:rPr>
          <w:rFonts w:eastAsiaTheme="minorEastAsia"/>
          <w:b/>
          <w:lang w:eastAsia="zh-CN"/>
        </w:rPr>
        <w:instrText xml:space="preserve"> \* MERGEFORMAT </w:instrText>
      </w:r>
      <w:r w:rsidRPr="00B948E6">
        <w:rPr>
          <w:rFonts w:eastAsiaTheme="minorEastAsia"/>
          <w:b/>
          <w:lang w:eastAsia="zh-CN"/>
        </w:rPr>
      </w:r>
      <w:r w:rsidRPr="00B948E6">
        <w:rPr>
          <w:rFonts w:eastAsiaTheme="minorEastAsia"/>
          <w:b/>
          <w:lang w:eastAsia="zh-CN"/>
        </w:rPr>
        <w:fldChar w:fldCharType="separate"/>
      </w:r>
      <w:r w:rsidR="006F796F" w:rsidRPr="006F796F">
        <w:rPr>
          <w:b/>
          <w:i/>
          <w:u w:val="single"/>
        </w:rPr>
        <w:t xml:space="preserve">Proposal </w:t>
      </w:r>
      <w:r w:rsidR="006F796F" w:rsidRPr="006F796F">
        <w:rPr>
          <w:b/>
          <w:i/>
          <w:noProof/>
          <w:u w:val="single"/>
        </w:rPr>
        <w:t>2</w:t>
      </w:r>
      <w:r w:rsidR="006F796F" w:rsidRPr="006F796F">
        <w:rPr>
          <w:b/>
          <w:i/>
        </w:rPr>
        <w:t>:</w:t>
      </w:r>
      <w:r w:rsidR="006F796F" w:rsidRPr="006F796F">
        <w:rPr>
          <w:b/>
        </w:rPr>
        <w:t xml:space="preserve"> </w:t>
      </w:r>
      <w:r w:rsidR="006F796F" w:rsidRPr="006F796F">
        <w:rPr>
          <w:b/>
          <w:i/>
        </w:rPr>
        <w:t>In the case of SPS PDSCH and the corresponding PDCCH release are in different carriers with different SCSs, the HARQ-ACK resource is determined based on the last PUCCH slot overlapping with the SPS PDCCH release (i.e., same as SPS release in single carrier case).</w:t>
      </w:r>
      <w:r w:rsidRPr="00B948E6">
        <w:rPr>
          <w:rFonts w:eastAsiaTheme="minorEastAsia"/>
          <w:b/>
          <w:lang w:eastAsia="zh-CN"/>
        </w:rPr>
        <w:fldChar w:fldCharType="end"/>
      </w:r>
    </w:p>
    <w:p w14:paraId="2EB77298" w14:textId="349CECD1" w:rsidR="00B948E6" w:rsidRPr="00B948E6" w:rsidRDefault="00B948E6" w:rsidP="000C19F7">
      <w:pPr>
        <w:pStyle w:val="a0"/>
        <w:spacing w:before="120"/>
        <w:rPr>
          <w:rFonts w:eastAsiaTheme="minorEastAsia"/>
          <w:b/>
          <w:lang w:eastAsia="zh-CN"/>
        </w:rPr>
      </w:pPr>
      <w:r w:rsidRPr="00B948E6">
        <w:rPr>
          <w:rFonts w:eastAsiaTheme="minorEastAsia"/>
          <w:b/>
          <w:lang w:eastAsia="zh-CN"/>
        </w:rPr>
        <w:fldChar w:fldCharType="begin"/>
      </w:r>
      <w:r w:rsidRPr="00B948E6">
        <w:rPr>
          <w:rFonts w:eastAsiaTheme="minorEastAsia"/>
          <w:b/>
          <w:lang w:eastAsia="zh-CN"/>
        </w:rPr>
        <w:instrText xml:space="preserve"> REF _Ref37170880 \h </w:instrText>
      </w:r>
      <w:r>
        <w:rPr>
          <w:rFonts w:eastAsiaTheme="minorEastAsia"/>
          <w:b/>
          <w:lang w:eastAsia="zh-CN"/>
        </w:rPr>
        <w:instrText xml:space="preserve"> \* MERGEFORMAT </w:instrText>
      </w:r>
      <w:r w:rsidRPr="00B948E6">
        <w:rPr>
          <w:rFonts w:eastAsiaTheme="minorEastAsia"/>
          <w:b/>
          <w:lang w:eastAsia="zh-CN"/>
        </w:rPr>
      </w:r>
      <w:r w:rsidRPr="00B948E6">
        <w:rPr>
          <w:rFonts w:eastAsiaTheme="minorEastAsia"/>
          <w:b/>
          <w:lang w:eastAsia="zh-CN"/>
        </w:rPr>
        <w:fldChar w:fldCharType="separate"/>
      </w:r>
      <w:r w:rsidR="006F796F" w:rsidRPr="006F796F">
        <w:rPr>
          <w:b/>
          <w:i/>
          <w:u w:val="single"/>
        </w:rPr>
        <w:t xml:space="preserve">Proposal </w:t>
      </w:r>
      <w:r w:rsidR="006F796F" w:rsidRPr="006F796F">
        <w:rPr>
          <w:b/>
          <w:i/>
          <w:noProof/>
          <w:u w:val="single"/>
        </w:rPr>
        <w:t>3</w:t>
      </w:r>
      <w:r w:rsidR="006F796F" w:rsidRPr="006F796F">
        <w:rPr>
          <w:b/>
          <w:i/>
        </w:rPr>
        <w:t>:</w:t>
      </w:r>
      <w:r w:rsidR="006F796F" w:rsidRPr="006F796F">
        <w:rPr>
          <w:b/>
        </w:rPr>
        <w:t xml:space="preserve"> </w:t>
      </w:r>
      <w:r w:rsidR="006F796F" w:rsidRPr="006F796F">
        <w:rPr>
          <w:b/>
          <w:i/>
        </w:rPr>
        <w:t>In the case of SPS PDSCH and the corresponding PDCCH release are in different carriers with different SCSs, the HARQ-ACK bit location of the SPS release in type-1 codebook is determined by the SLIV of the last slot of SPS PDSCH overlapping with</w:t>
      </w:r>
      <w:r w:rsidR="006F796F" w:rsidRPr="006F796F">
        <w:rPr>
          <w:b/>
        </w:rPr>
        <w:t xml:space="preserve"> </w:t>
      </w:r>
      <w:r w:rsidR="006F796F" w:rsidRPr="006F796F">
        <w:rPr>
          <w:b/>
          <w:i/>
        </w:rPr>
        <w:t>the SPS PDCCH release.</w:t>
      </w:r>
      <w:r w:rsidRPr="00B948E6">
        <w:rPr>
          <w:rFonts w:eastAsiaTheme="minorEastAsia"/>
          <w:b/>
          <w:lang w:eastAsia="zh-CN"/>
        </w:rPr>
        <w:fldChar w:fldCharType="end"/>
      </w:r>
    </w:p>
    <w:p w14:paraId="69647C38" w14:textId="5C825306" w:rsidR="00913AEA" w:rsidRPr="009D0BD2" w:rsidRDefault="00913AEA" w:rsidP="000C19F7">
      <w:pPr>
        <w:pStyle w:val="a0"/>
        <w:spacing w:before="120"/>
        <w:rPr>
          <w:rFonts w:eastAsiaTheme="minorEastAsia"/>
          <w:b/>
          <w:lang w:eastAsia="zh-CN"/>
        </w:rPr>
      </w:pPr>
      <w:r w:rsidRPr="009D0BD2">
        <w:rPr>
          <w:rFonts w:eastAsiaTheme="minorEastAsia"/>
          <w:b/>
          <w:lang w:eastAsia="zh-CN"/>
        </w:rPr>
        <w:lastRenderedPageBreak/>
        <w:fldChar w:fldCharType="begin"/>
      </w:r>
      <w:r w:rsidRPr="009D0BD2">
        <w:rPr>
          <w:rFonts w:eastAsiaTheme="minorEastAsia"/>
          <w:b/>
          <w:lang w:eastAsia="zh-CN"/>
        </w:rPr>
        <w:instrText xml:space="preserve"> REF _Ref32307926 \h  \* MERGEFORMAT </w:instrText>
      </w:r>
      <w:r w:rsidRPr="009D0BD2">
        <w:rPr>
          <w:rFonts w:eastAsiaTheme="minorEastAsia"/>
          <w:b/>
          <w:lang w:eastAsia="zh-CN"/>
        </w:rPr>
      </w:r>
      <w:r w:rsidRPr="009D0BD2">
        <w:rPr>
          <w:rFonts w:eastAsiaTheme="minorEastAsia"/>
          <w:b/>
          <w:lang w:eastAsia="zh-CN"/>
        </w:rPr>
        <w:fldChar w:fldCharType="separate"/>
      </w:r>
      <w:r w:rsidR="006F796F" w:rsidRPr="006F796F">
        <w:rPr>
          <w:b/>
          <w:i/>
          <w:u w:val="single"/>
        </w:rPr>
        <w:t xml:space="preserve">Proposal </w:t>
      </w:r>
      <w:r w:rsidR="006F796F" w:rsidRPr="006F796F">
        <w:rPr>
          <w:b/>
          <w:i/>
          <w:noProof/>
          <w:u w:val="single"/>
        </w:rPr>
        <w:t>4</w:t>
      </w:r>
      <w:r w:rsidR="006F796F" w:rsidRPr="006F796F">
        <w:rPr>
          <w:b/>
          <w:i/>
        </w:rPr>
        <w:t>:</w:t>
      </w:r>
      <w:r w:rsidR="006F796F" w:rsidRPr="006F796F">
        <w:rPr>
          <w:b/>
        </w:rPr>
        <w:t xml:space="preserve"> </w:t>
      </w:r>
      <w:r w:rsidR="006F796F" w:rsidRPr="006F796F">
        <w:rPr>
          <w:b/>
          <w:i/>
        </w:rPr>
        <w:t>Accept the proposed TP to clarify the additional timing delay d for cross carrier scheduling.</w:t>
      </w:r>
      <w:r w:rsidRPr="009D0BD2">
        <w:rPr>
          <w:rFonts w:eastAsiaTheme="minorEastAsia"/>
          <w:b/>
          <w:lang w:eastAsia="zh-CN"/>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1" w:name="_Ref510367705"/>
      <w:bookmarkStart w:id="12" w:name="_Ref503565490"/>
      <w:bookmarkStart w:id="13" w:name="_Ref493791948"/>
      <w:bookmarkStart w:id="14" w:name="_Ref503565531"/>
      <w:r w:rsidRPr="00203CE9">
        <w:rPr>
          <w:rFonts w:ascii="Arial" w:eastAsia="宋体" w:hAnsi="Arial" w:cs="Times New Roman"/>
          <w:b w:val="0"/>
          <w:bCs w:val="0"/>
          <w:kern w:val="0"/>
          <w:sz w:val="36"/>
          <w:szCs w:val="20"/>
          <w:lang w:eastAsia="zh-CN"/>
        </w:rPr>
        <w:t>Reference</w:t>
      </w:r>
    </w:p>
    <w:p w14:paraId="698F0D93" w14:textId="322B93C9" w:rsidR="00D6504D" w:rsidRDefault="00D6504D" w:rsidP="00D6504D">
      <w:pPr>
        <w:pStyle w:val="a0"/>
        <w:numPr>
          <w:ilvl w:val="0"/>
          <w:numId w:val="6"/>
        </w:numPr>
        <w:spacing w:before="120" w:after="0"/>
        <w:rPr>
          <w:rFonts w:eastAsia="宋体"/>
          <w:szCs w:val="20"/>
        </w:rPr>
      </w:pPr>
      <w:bookmarkStart w:id="15" w:name="_Ref32251495"/>
      <w:bookmarkStart w:id="16" w:name="_Ref521328302"/>
      <w:bookmarkStart w:id="17" w:name="_Ref510367818"/>
      <w:bookmarkEnd w:id="11"/>
      <w:r>
        <w:rPr>
          <w:rFonts w:eastAsia="宋体"/>
          <w:noProof/>
          <w:szCs w:val="20"/>
        </w:rPr>
        <w:t xml:space="preserve">3GPP TS 38.213, “NR; </w:t>
      </w:r>
      <w:r w:rsidRPr="00D11F23">
        <w:t xml:space="preserve">Physical layer procedures for </w:t>
      </w:r>
      <w:r>
        <w:t>control</w:t>
      </w:r>
      <w:r w:rsidR="00C52A7C">
        <w:rPr>
          <w:rFonts w:eastAsia="宋体"/>
          <w:noProof/>
          <w:szCs w:val="20"/>
        </w:rPr>
        <w:t>”, v16.1</w:t>
      </w:r>
      <w:r>
        <w:rPr>
          <w:rFonts w:eastAsia="宋体"/>
          <w:noProof/>
          <w:szCs w:val="20"/>
        </w:rPr>
        <w:t>.0 (20</w:t>
      </w:r>
      <w:r w:rsidR="00C52A7C">
        <w:rPr>
          <w:rFonts w:eastAsia="宋体"/>
          <w:noProof/>
          <w:szCs w:val="20"/>
        </w:rPr>
        <w:t>20</w:t>
      </w:r>
      <w:r>
        <w:rPr>
          <w:rFonts w:eastAsia="宋体"/>
          <w:noProof/>
          <w:szCs w:val="20"/>
        </w:rPr>
        <w:t>-</w:t>
      </w:r>
      <w:r w:rsidR="00C52A7C">
        <w:rPr>
          <w:rFonts w:eastAsia="宋体"/>
          <w:noProof/>
          <w:szCs w:val="20"/>
        </w:rPr>
        <w:t>04</w:t>
      </w:r>
      <w:r>
        <w:rPr>
          <w:rFonts w:eastAsia="宋体"/>
          <w:noProof/>
          <w:szCs w:val="20"/>
        </w:rPr>
        <w:t>)</w:t>
      </w:r>
      <w:r w:rsidRPr="00033098">
        <w:rPr>
          <w:rFonts w:eastAsia="宋体"/>
          <w:noProof/>
          <w:szCs w:val="20"/>
          <w:lang w:eastAsia="zh-CN"/>
        </w:rPr>
        <w:t>.</w:t>
      </w:r>
      <w:bookmarkEnd w:id="15"/>
    </w:p>
    <w:p w14:paraId="2B629F70" w14:textId="4D87F554" w:rsidR="00913AEA" w:rsidRDefault="00913AEA" w:rsidP="00D6504D">
      <w:pPr>
        <w:pStyle w:val="a0"/>
        <w:numPr>
          <w:ilvl w:val="0"/>
          <w:numId w:val="6"/>
        </w:numPr>
        <w:spacing w:before="120" w:after="0"/>
        <w:rPr>
          <w:rFonts w:eastAsia="宋体"/>
          <w:szCs w:val="20"/>
        </w:rPr>
      </w:pPr>
      <w:bookmarkStart w:id="18" w:name="_Ref32308097"/>
      <w:r>
        <w:rPr>
          <w:rFonts w:eastAsia="宋体"/>
          <w:noProof/>
          <w:szCs w:val="20"/>
        </w:rPr>
        <w:t xml:space="preserve">3GPP TS 38.214, “NR; </w:t>
      </w:r>
      <w:r w:rsidRPr="00D11F23">
        <w:t xml:space="preserve">Physical layer procedures for </w:t>
      </w:r>
      <w:r>
        <w:t>data</w:t>
      </w:r>
      <w:r w:rsidR="004F13DB">
        <w:rPr>
          <w:rFonts w:eastAsia="宋体"/>
          <w:noProof/>
          <w:szCs w:val="20"/>
        </w:rPr>
        <w:t>”, v16.1.0 (2020-03</w:t>
      </w:r>
      <w:r>
        <w:rPr>
          <w:rFonts w:eastAsia="宋体"/>
          <w:noProof/>
          <w:szCs w:val="20"/>
        </w:rPr>
        <w:t>)</w:t>
      </w:r>
      <w:r w:rsidRPr="00033098">
        <w:rPr>
          <w:rFonts w:eastAsia="宋体"/>
          <w:noProof/>
          <w:szCs w:val="20"/>
          <w:lang w:eastAsia="zh-CN"/>
        </w:rPr>
        <w:t>.</w:t>
      </w:r>
      <w:bookmarkEnd w:id="18"/>
    </w:p>
    <w:p w14:paraId="0B4716CC" w14:textId="77777777" w:rsidR="004002DF" w:rsidRDefault="004002DF" w:rsidP="001A2880">
      <w:pPr>
        <w:pStyle w:val="a0"/>
        <w:spacing w:before="120" w:after="0"/>
        <w:rPr>
          <w:rFonts w:eastAsia="宋体"/>
          <w:szCs w:val="20"/>
        </w:rPr>
      </w:pPr>
    </w:p>
    <w:bookmarkEnd w:id="12"/>
    <w:bookmarkEnd w:id="13"/>
    <w:bookmarkEnd w:id="14"/>
    <w:bookmarkEnd w:id="16"/>
    <w:bookmarkEnd w:id="17"/>
    <w:bookmarkEnd w:id="1"/>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17D5E" w14:textId="77777777" w:rsidR="008317A5" w:rsidRDefault="008317A5">
      <w:r>
        <w:separator/>
      </w:r>
    </w:p>
  </w:endnote>
  <w:endnote w:type="continuationSeparator" w:id="0">
    <w:p w14:paraId="25DCF0A0" w14:textId="77777777" w:rsidR="008317A5" w:rsidRDefault="0083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B671D9"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6F796F">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F796F">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8AA67" w14:textId="77777777" w:rsidR="008317A5" w:rsidRDefault="008317A5">
      <w:r>
        <w:separator/>
      </w:r>
    </w:p>
  </w:footnote>
  <w:footnote w:type="continuationSeparator" w:id="0">
    <w:p w14:paraId="5DF08D38" w14:textId="77777777" w:rsidR="008317A5" w:rsidRDefault="008317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0CFC4629"/>
    <w:multiLevelType w:val="hybridMultilevel"/>
    <w:tmpl w:val="7EB2F776"/>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7062E"/>
    <w:multiLevelType w:val="hybridMultilevel"/>
    <w:tmpl w:val="728A80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1874B9"/>
    <w:multiLevelType w:val="hybridMultilevel"/>
    <w:tmpl w:val="A6E4E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4"/>
  </w:num>
  <w:num w:numId="2">
    <w:abstractNumId w:val="0"/>
  </w:num>
  <w:num w:numId="3">
    <w:abstractNumId w:val="33"/>
  </w:num>
  <w:num w:numId="4">
    <w:abstractNumId w:val="4"/>
  </w:num>
  <w:num w:numId="5">
    <w:abstractNumId w:val="29"/>
  </w:num>
  <w:num w:numId="6">
    <w:abstractNumId w:val="35"/>
  </w:num>
  <w:num w:numId="7">
    <w:abstractNumId w:val="20"/>
  </w:num>
  <w:num w:numId="8">
    <w:abstractNumId w:val="27"/>
  </w:num>
  <w:num w:numId="9">
    <w:abstractNumId w:val="24"/>
  </w:num>
  <w:num w:numId="10">
    <w:abstractNumId w:val="17"/>
  </w:num>
  <w:num w:numId="11">
    <w:abstractNumId w:val="12"/>
  </w:num>
  <w:num w:numId="12">
    <w:abstractNumId w:val="28"/>
  </w:num>
  <w:num w:numId="13">
    <w:abstractNumId w:val="2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8"/>
  </w:num>
  <w:num w:numId="20">
    <w:abstractNumId w:val="5"/>
  </w:num>
  <w:num w:numId="21">
    <w:abstractNumId w:val="15"/>
  </w:num>
  <w:num w:numId="22">
    <w:abstractNumId w:val="16"/>
  </w:num>
  <w:num w:numId="23">
    <w:abstractNumId w:val="7"/>
  </w:num>
  <w:num w:numId="24">
    <w:abstractNumId w:val="13"/>
  </w:num>
  <w:num w:numId="25">
    <w:abstractNumId w:val="32"/>
  </w:num>
  <w:num w:numId="26">
    <w:abstractNumId w:val="23"/>
  </w:num>
  <w:num w:numId="27">
    <w:abstractNumId w:val="9"/>
  </w:num>
  <w:num w:numId="28">
    <w:abstractNumId w:val="25"/>
  </w:num>
  <w:num w:numId="29">
    <w:abstractNumId w:val="10"/>
  </w:num>
  <w:num w:numId="30">
    <w:abstractNumId w:val="31"/>
  </w:num>
  <w:num w:numId="31">
    <w:abstractNumId w:val="8"/>
  </w:num>
  <w:num w:numId="32">
    <w:abstractNumId w:val="22"/>
  </w:num>
  <w:num w:numId="33">
    <w:abstractNumId w:val="11"/>
  </w:num>
  <w:num w:numId="34">
    <w:abstractNumId w:val="14"/>
  </w:num>
  <w:num w:numId="35">
    <w:abstractNumId w:val="6"/>
  </w:num>
  <w:num w:numId="36">
    <w:abstractNumId w:val="30"/>
  </w:num>
  <w:num w:numId="37">
    <w:abstractNumId w:val="2"/>
  </w:num>
  <w:num w:numId="38">
    <w:abstractNumId w:val="3"/>
  </w:num>
  <w:num w:numId="39">
    <w:abstractNumId w:val="21"/>
  </w:num>
  <w:num w:numId="4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US"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0A87"/>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0BA3"/>
    <w:rsid w:val="00461013"/>
    <w:rsid w:val="0046239D"/>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3BC7"/>
    <w:rsid w:val="0056573E"/>
    <w:rsid w:val="00565FF9"/>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371"/>
    <w:rsid w:val="00621FC6"/>
    <w:rsid w:val="00622B80"/>
    <w:rsid w:val="00622C42"/>
    <w:rsid w:val="006234D2"/>
    <w:rsid w:val="0062390E"/>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7617"/>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64A"/>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60E1"/>
    <w:rsid w:val="00A877B7"/>
    <w:rsid w:val="00A90112"/>
    <w:rsid w:val="00A91030"/>
    <w:rsid w:val="00A92D2F"/>
    <w:rsid w:val="00A961D1"/>
    <w:rsid w:val="00A969BA"/>
    <w:rsid w:val="00A96A81"/>
    <w:rsid w:val="00A970EB"/>
    <w:rsid w:val="00AA05E1"/>
    <w:rsid w:val="00AA0978"/>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2E57"/>
    <w:rsid w:val="00B0300E"/>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06BB"/>
    <w:rsid w:val="00B31952"/>
    <w:rsid w:val="00B32014"/>
    <w:rsid w:val="00B3249D"/>
    <w:rsid w:val="00B326FA"/>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1C70"/>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21A"/>
    <w:rsid w:val="00C22B84"/>
    <w:rsid w:val="00C23E44"/>
    <w:rsid w:val="00C27320"/>
    <w:rsid w:val="00C305C6"/>
    <w:rsid w:val="00C31857"/>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3D44"/>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4023"/>
    <w:rsid w:val="00D74025"/>
    <w:rsid w:val="00D743D2"/>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0E63"/>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6498"/>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8A2"/>
    <w:rsid w:val="00FB2C70"/>
    <w:rsid w:val="00FB3223"/>
    <w:rsid w:val="00FB54EA"/>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32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9">
    <w:name w:val="Strong"/>
    <w:basedOn w:val="a1"/>
    <w:uiPriority w:val="22"/>
    <w:qFormat/>
    <w:rsid w:val="00B0300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CC587-EC38-458A-B158-61FB69CE1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2849</TotalTime>
  <Pages>4</Pages>
  <Words>1580</Words>
  <Characters>9009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10568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189</cp:revision>
  <cp:lastPrinted>2008-12-09T03:19:00Z</cp:lastPrinted>
  <dcterms:created xsi:type="dcterms:W3CDTF">2019-01-09T21:59:00Z</dcterms:created>
  <dcterms:modified xsi:type="dcterms:W3CDTF">2020-04-10T11:02:00Z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